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3309" w:rsidR="00EE2ADA" w:rsidP="0E11B9CF" w:rsidRDefault="00EE2ADA" w14:paraId="53CF1C87" w14:noSpellErr="1" w14:textId="2C189751">
      <w:pPr>
        <w:spacing w:before="100" w:beforeAutospacing="on" w:after="100" w:afterAutospacing="on" w:line="240" w:lineRule="auto"/>
        <w:jc w:val="center"/>
        <w:rPr>
          <w:rFonts w:ascii="Times New Roman" w:hAnsi="Times New Roman" w:cs="Times New Roman"/>
          <w:b w:val="1"/>
          <w:bCs w:val="1"/>
          <w:color w:val="000000" w:themeColor="text1"/>
          <w:sz w:val="28"/>
          <w:szCs w:val="28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Project Narrative: Healthc</w:t>
      </w:r>
      <w:r w:rsidRPr="0E11B9CF" w:rsidR="0E11B9C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are</w:t>
      </w:r>
      <w:r w:rsidRPr="0E11B9CF" w:rsidR="0E11B9C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Employment Reinvestment Opportunity (H.E.R.O)</w:t>
      </w:r>
    </w:p>
    <w:p w:rsidRPr="00177659" w:rsidR="00634528" w:rsidP="0E11B9CF" w:rsidRDefault="00634528" w14:paraId="6B00F8B5" w14:textId="27B6BF1B" w14:noSpellErr="1">
      <w:pPr>
        <w:pStyle w:val="NoSpacing"/>
        <w:spacing w:line="259" w:lineRule="auto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Formatting requirements: </w:t>
      </w:r>
    </w:p>
    <w:p w:rsidRPr="00177659" w:rsidR="00634528" w:rsidP="0E11B9CF" w:rsidRDefault="00634528" w14:paraId="1F521771" w14:textId="3C15A857" w14:noSpellErr="1">
      <w:pPr>
        <w:pStyle w:val="NoSpacing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Font: Use Times New Roman or Arial, size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11 or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12-point font; 10-point font is considered acceptable for tables </w:t>
      </w:r>
    </w:p>
    <w:p w:rsidRPr="00177659" w:rsidR="00634528" w:rsidP="0E11B9CF" w:rsidRDefault="00634528" w14:paraId="2B59FBE1" w14:textId="77777777" w14:noSpellErr="1">
      <w:pPr>
        <w:pStyle w:val="NoSpacing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Margins: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Maintain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one-inch margins on all sides </w:t>
      </w:r>
    </w:p>
    <w:p w:rsidRPr="00177659" w:rsidR="00634528" w:rsidP="0E11B9CF" w:rsidRDefault="00634528" w14:paraId="3620B890" w14:textId="77777777" w14:noSpellErr="1">
      <w:pPr>
        <w:pStyle w:val="NoSpacing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Line spacing: Use single-spaced or 1.5-spaced text </w:t>
      </w:r>
    </w:p>
    <w:p w:rsidRPr="00177659" w:rsidR="00634528" w:rsidP="0E11B9CF" w:rsidRDefault="00634528" w14:paraId="575EA4BC" w14:textId="2886D5E4" w14:noSpellErr="1">
      <w:pPr>
        <w:pStyle w:val="NoSpacing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Page numbers: Number all pages consecutively in the bottom right corner </w:t>
      </w:r>
    </w:p>
    <w:p w:rsidRPr="00B43309" w:rsidR="00634528" w:rsidP="0E11B9CF" w:rsidRDefault="00634528" w14:paraId="3A9E4913" w14:textId="77777777" w14:noSpellErr="1">
      <w:pPr>
        <w:pStyle w:val="NoSpacing"/>
        <w:spacing w:line="259" w:lineRule="auto"/>
        <w:ind w:left="720"/>
        <w:rPr>
          <w:rFonts w:ascii="Times New Roman" w:hAnsi="Times New Roman" w:cs="Times New Roman"/>
          <w:color w:val="4C94D8" w:themeColor="text2" w:themeTint="80" w:themeShade="FF"/>
        </w:rPr>
      </w:pPr>
    </w:p>
    <w:p w:rsidRPr="00B43309" w:rsidR="007E1D1C" w:rsidP="0E11B9CF" w:rsidRDefault="007E1D1C" w14:paraId="06F5C67C" w14:textId="46E125A7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  <w:u w:val="single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 xml:space="preserve">Section I. Applicant Information: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Include information on the applicant’s program history, past grants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,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and capacity to implement the proposed project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. </w:t>
      </w:r>
    </w:p>
    <w:p w:rsidRPr="00B43309" w:rsidR="007E1D1C" w:rsidP="0E11B9CF" w:rsidRDefault="007E1D1C" w14:paraId="4012104E" w14:textId="77777777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  <w:u w:val="single"/>
        </w:rPr>
      </w:pPr>
    </w:p>
    <w:p w:rsidRPr="00B43309" w:rsidR="00634528" w:rsidP="0E11B9CF" w:rsidRDefault="00634528" w14:paraId="576B84C0" w14:textId="4B945912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Section I</w:t>
      </w: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I</w:t>
      </w: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 xml:space="preserve">. Program Description: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The p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rogram description should include strategies that will be used to meet the purposes of the H.E.R.O. Fund as listed in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the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H.E.R.O. Request for Applications (RFA) document.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Provide evidence of need for the program (i.e.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,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estimated job openings, qualified applicants not admitted,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etc.)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The p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rogram description should also include strategies that will be used for student recruitment and supporting students through their training/education program.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Each strategy should include at least two metrics to measure success at the end of the grant term. </w:t>
      </w:r>
    </w:p>
    <w:p w:rsidRPr="00B43309" w:rsidR="007E1D1C" w:rsidP="0E11B9CF" w:rsidRDefault="007E1D1C" w14:paraId="35FA70F7" w14:textId="77777777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  <w:u w:val="single"/>
        </w:rPr>
      </w:pPr>
    </w:p>
    <w:p w:rsidRPr="00B43309" w:rsidR="00634528" w:rsidP="0E11B9CF" w:rsidRDefault="00634528" w14:paraId="4F214DD4" w14:textId="4A520924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  <w:u w:val="single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Section I</w:t>
      </w: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II</w:t>
      </w: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. Healthcare Partner Information (limit 1 page):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  <w:u w:val="single"/>
        </w:rPr>
        <w:t xml:space="preserve">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Applicants should provide information on how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the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healthcare partner will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onboard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and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retain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graduates and how graduates will be supported through their service obligations.</w:t>
      </w:r>
    </w:p>
    <w:p w:rsidRPr="00B43309" w:rsidR="00634528" w:rsidP="0E11B9CF" w:rsidRDefault="00634528" w14:paraId="4BB3959B" w14:textId="77777777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</w:p>
    <w:p w:rsidRPr="00B43309" w:rsidR="00E721DA" w:rsidP="0E11B9CF" w:rsidRDefault="00634528" w14:paraId="2959A6B7" w14:noSpellErr="1" w14:textId="432C00FE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 xml:space="preserve">Section IV. Performance Metrics &amp; Outcomes: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Proposals must clearly define performance metrics and the expected measurable outcomes that will be used to assess program success. Grantees will be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required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to report on these metrics quarterly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as part of their reporting obligations.</w:t>
      </w:r>
    </w:p>
    <w:p w:rsidRPr="00B43309" w:rsidR="00E721DA" w:rsidP="0E11B9CF" w:rsidRDefault="00E721DA" w14:paraId="6F5D8029" w14:textId="77777777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</w:p>
    <w:p w:rsidRPr="00B43309" w:rsidR="00024386" w:rsidP="0E11B9CF" w:rsidRDefault="00E721DA" w14:paraId="39382BBE" w14:textId="710AA23F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Applicants should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establish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three to five (3–5) clear project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objectives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that align with the purpose and scope of this funding opportunity. These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objectives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should reflect the intended outcomes of your project and guide your implementation efforts.</w:t>
      </w:r>
    </w:p>
    <w:p w:rsidRPr="00B43309" w:rsidR="00E721DA" w:rsidP="0E11B9CF" w:rsidRDefault="00E721DA" w14:paraId="30326247" w14:textId="77777777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</w:p>
    <w:p w:rsidRPr="00B43309" w:rsidR="00F64DA2" w:rsidP="0E11B9CF" w:rsidRDefault="00F64DA2" w14:paraId="131A4B69" w14:textId="77777777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Reviewers will assess each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objective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using the SMART framework, which ensures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objectives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are:</w:t>
      </w:r>
    </w:p>
    <w:p w:rsidRPr="00B43309" w:rsidR="00F64DA2" w:rsidP="0E11B9CF" w:rsidRDefault="00F64DA2" w14:paraId="72CBA4CD" w14:textId="77777777" w14:noSpellErr="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Specific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– Clearly defined and focused on a particular outcome</w:t>
      </w:r>
    </w:p>
    <w:p w:rsidRPr="00B43309" w:rsidR="00F64DA2" w:rsidP="0E11B9CF" w:rsidRDefault="00F64DA2" w14:paraId="097E4C61" w14:textId="77777777" w14:noSpellErr="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Measurable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– Supported by indicators or metrics that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demonstrate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progress</w:t>
      </w:r>
    </w:p>
    <w:p w:rsidRPr="00B43309" w:rsidR="00F64DA2" w:rsidP="0E11B9CF" w:rsidRDefault="00F64DA2" w14:paraId="4D44DB1C" w14:textId="77777777" w14:noSpellErr="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Achievable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– Realistic given the project’s resources and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timeframe</w:t>
      </w:r>
    </w:p>
    <w:p w:rsidRPr="00B43309" w:rsidR="00F64DA2" w:rsidP="0E11B9CF" w:rsidRDefault="00F64DA2" w14:paraId="6596B203" w14:textId="77777777" w14:noSpellErr="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Relevant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– Directly aligned with program goals and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identified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needs</w:t>
      </w:r>
    </w:p>
    <w:p w:rsidRPr="00B43309" w:rsidR="00F64DA2" w:rsidP="0E11B9CF" w:rsidRDefault="00F64DA2" w14:paraId="61380C0F" w14:textId="77777777" w14:noSpellErr="1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Time-bound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– Associated with a clear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timeframe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for completion</w:t>
      </w:r>
    </w:p>
    <w:p w:rsidRPr="00B43309" w:rsidR="00024386" w:rsidP="0E11B9CF" w:rsidRDefault="00024386" w14:paraId="13D3ECDE" w14:textId="77777777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</w:p>
    <w:p w:rsidRPr="00B43309" w:rsidR="00F64DA2" w:rsidP="0E11B9CF" w:rsidRDefault="00F64DA2" w14:paraId="3E3375AA" w14:textId="3AF2E8A6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For each project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objective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, applicants must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identify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the following elements:</w:t>
      </w:r>
    </w:p>
    <w:p w:rsidRPr="00B43309" w:rsidR="00F64DA2" w:rsidP="0E11B9CF" w:rsidRDefault="00F64DA2" w14:paraId="5735C8E8" w14:textId="77777777" w14:noSpellErr="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Project Objective: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Written in SMART format.</w:t>
      </w:r>
    </w:p>
    <w:p w:rsidRPr="00B43309" w:rsidR="00F64DA2" w:rsidP="0E11B9CF" w:rsidRDefault="00F64DA2" w14:paraId="4569576E" w14:textId="77777777" w14:noSpellErr="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Performance Measure(s):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Identify 1–3 key indicators that will be used to assess progress toward the objective.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Describe how performance will be evaluated or measured.</w:t>
      </w:r>
    </w:p>
    <w:p w:rsidRPr="00B43309" w:rsidR="00F64DA2" w:rsidP="0E11B9CF" w:rsidRDefault="00F64DA2" w14:paraId="754BE70E" w14:textId="77777777" w14:noSpellErr="1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Quantitative Target: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Define a specific, numeric target or benchmark to be achieved by the end of the project period.</w:t>
      </w:r>
    </w:p>
    <w:p w:rsidRPr="00B43309" w:rsidR="00024386" w:rsidP="0E11B9CF" w:rsidRDefault="00024386" w14:paraId="695D13F9" w14:textId="77777777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</w:p>
    <w:p w:rsidRPr="00B43309" w:rsidR="00F64DA2" w:rsidP="0E11B9CF" w:rsidRDefault="00F64DA2" w14:paraId="7BEC0AF4" w14:textId="4432BBD8" w14:noSpellErr="1">
      <w:pPr>
        <w:spacing w:after="0"/>
        <w:jc w:val="both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Please organize the project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objectives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, performance measures, and targets in a table format,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similar to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the example below.</w:t>
      </w:r>
    </w:p>
    <w:p w:rsidRPr="00B43309" w:rsidR="002C2BAD" w:rsidP="00B71E22" w:rsidRDefault="002C2BAD" w14:paraId="573A1E6C" w14:textId="77777777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639"/>
        <w:gridCol w:w="4016"/>
        <w:gridCol w:w="2695"/>
      </w:tblGrid>
      <w:tr w:rsidRPr="00177659" w:rsidR="00B43309" w:rsidTr="0E11B9CF" w14:paraId="1DE93055" w14:textId="77777777">
        <w:trPr>
          <w:trHeight w:val="368"/>
        </w:trPr>
        <w:tc>
          <w:tcPr>
            <w:tcW w:w="2639" w:type="dxa"/>
            <w:shd w:val="clear" w:color="auto" w:fill="DAE8F8"/>
            <w:tcMar/>
            <w:vAlign w:val="center"/>
          </w:tcPr>
          <w:p w:rsidRPr="00D1117D" w:rsidR="00D1117D" w:rsidP="0E11B9CF" w:rsidRDefault="00D1117D" w14:paraId="22A6FD08" w14:textId="77777777" w14:noSpellErr="1">
            <w:pPr>
              <w:spacing/>
              <w:contextualSpacing/>
              <w:rPr>
                <w:rFonts w:ascii="Times New Roman" w:hAnsi="Times New Roman" w:cs="Times New Roman"/>
                <w:b w:val="1"/>
                <w:bCs w:val="1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Performance Objective</w:t>
            </w:r>
          </w:p>
        </w:tc>
        <w:tc>
          <w:tcPr>
            <w:tcW w:w="4016" w:type="dxa"/>
            <w:shd w:val="clear" w:color="auto" w:fill="DAE8F8"/>
            <w:tcMar/>
            <w:vAlign w:val="center"/>
          </w:tcPr>
          <w:p w:rsidRPr="00D1117D" w:rsidR="00D1117D" w:rsidP="0E11B9CF" w:rsidRDefault="00D1117D" w14:paraId="7B45EB2D" w14:textId="77777777" w14:noSpellErr="1">
            <w:pPr>
              <w:spacing/>
              <w:contextualSpacing/>
              <w:rPr>
                <w:rFonts w:ascii="Times New Roman" w:hAnsi="Times New Roman" w:cs="Times New Roman"/>
                <w:b w:val="1"/>
                <w:bCs w:val="1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Performance Measure</w:t>
            </w:r>
          </w:p>
        </w:tc>
        <w:tc>
          <w:tcPr>
            <w:tcW w:w="2695" w:type="dxa"/>
            <w:shd w:val="clear" w:color="auto" w:fill="DAE8F8"/>
            <w:tcMar/>
            <w:vAlign w:val="center"/>
          </w:tcPr>
          <w:p w:rsidRPr="00D1117D" w:rsidR="00D1117D" w:rsidP="0E11B9CF" w:rsidRDefault="00D1117D" w14:paraId="445C244B" w14:textId="77777777" w14:noSpellErr="1">
            <w:pPr>
              <w:spacing/>
              <w:contextualSpacing/>
              <w:rPr>
                <w:rFonts w:ascii="Times New Roman" w:hAnsi="Times New Roman" w:cs="Times New Roman"/>
                <w:b w:val="1"/>
                <w:bCs w:val="1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Target</w:t>
            </w:r>
          </w:p>
        </w:tc>
      </w:tr>
      <w:tr w:rsidRPr="00177659" w:rsidR="00B43309" w:rsidTr="0E11B9CF" w14:paraId="29C1397D" w14:textId="77777777">
        <w:trPr>
          <w:trHeight w:val="144"/>
        </w:trPr>
        <w:tc>
          <w:tcPr>
            <w:tcW w:w="2639" w:type="dxa"/>
            <w:vMerge w:val="restart"/>
            <w:shd w:val="clear" w:color="auto" w:fill="DAE8F8"/>
            <w:tcMar/>
            <w:vAlign w:val="center"/>
          </w:tcPr>
          <w:p w:rsidRPr="00D1117D" w:rsidR="00D1117D" w:rsidP="0E11B9CF" w:rsidRDefault="00D1117D" w14:paraId="15EFF39D" w14:textId="77777777" w14:noSpellErr="1">
            <w:pPr>
              <w:spacing/>
              <w:contextualSpacing/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Expand the number of certified radiologic technologists in rural parishes by providing tuition </w:t>
            </w:r>
            <w:r w:rsidRPr="0E11B9CF" w:rsidR="0E11B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assistance</w:t>
            </w:r>
            <w:r w:rsidRPr="0E11B9CF" w:rsidR="0E11B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and stipend support by June 30, 2027.</w:t>
            </w:r>
          </w:p>
        </w:tc>
        <w:tc>
          <w:tcPr>
            <w:tcW w:w="4016" w:type="dxa"/>
            <w:shd w:val="clear" w:color="auto" w:fill="DAE8F8"/>
            <w:tcMar/>
            <w:vAlign w:val="center"/>
          </w:tcPr>
          <w:p w:rsidRPr="00D1117D" w:rsidR="00D1117D" w:rsidP="0E11B9CF" w:rsidRDefault="00D1117D" w14:paraId="3161937F" w14:textId="77777777" w14:noSpellErr="1">
            <w:pPr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Number of participants completing training</w:t>
            </w:r>
          </w:p>
        </w:tc>
        <w:tc>
          <w:tcPr>
            <w:tcW w:w="2695" w:type="dxa"/>
            <w:shd w:val="clear" w:color="auto" w:fill="DAE8F8"/>
            <w:tcMar/>
            <w:vAlign w:val="center"/>
          </w:tcPr>
          <w:p w:rsidRPr="00D1117D" w:rsidR="00D1117D" w:rsidP="0E11B9CF" w:rsidRDefault="00D1117D" w14:paraId="0764313A" w14:textId="77777777" w14:noSpellErr="1">
            <w:pPr>
              <w:spacing/>
              <w:contextualSpacing/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 participants complete training</w:t>
            </w:r>
          </w:p>
        </w:tc>
      </w:tr>
      <w:tr w:rsidRPr="00177659" w:rsidR="00B43309" w:rsidTr="0E11B9CF" w14:paraId="481922FB" w14:textId="77777777">
        <w:trPr>
          <w:trHeight w:val="720"/>
        </w:trPr>
        <w:tc>
          <w:tcPr>
            <w:tcW w:w="2639" w:type="dxa"/>
            <w:vMerge/>
            <w:tcMar/>
            <w:vAlign w:val="center"/>
          </w:tcPr>
          <w:p w:rsidRPr="00D1117D" w:rsidR="00D1117D" w:rsidP="007A6757" w:rsidRDefault="00D1117D" w14:paraId="74C74BD2" w14:textId="7777777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AE8F8"/>
            <w:tcMar/>
            <w:vAlign w:val="center"/>
          </w:tcPr>
          <w:p w:rsidRPr="00D1117D" w:rsidR="00D1117D" w:rsidP="0E11B9CF" w:rsidRDefault="00D1117D" w14:paraId="1CB4A835" w14:textId="77777777" w14:noSpellErr="1">
            <w:pPr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Number earning an industry-recognized credential</w:t>
            </w:r>
          </w:p>
        </w:tc>
        <w:tc>
          <w:tcPr>
            <w:tcW w:w="2695" w:type="dxa"/>
            <w:shd w:val="clear" w:color="auto" w:fill="DAE8F8"/>
            <w:tcMar/>
            <w:vAlign w:val="center"/>
          </w:tcPr>
          <w:p w:rsidRPr="00D1117D" w:rsidR="00D1117D" w:rsidP="0E11B9CF" w:rsidRDefault="00D1117D" w14:paraId="59A5C8E7" w14:textId="77777777" w14:noSpellErr="1">
            <w:pPr>
              <w:spacing/>
              <w:contextualSpacing/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 earn credentials</w:t>
            </w:r>
          </w:p>
        </w:tc>
      </w:tr>
      <w:tr w:rsidRPr="00177659" w:rsidR="00B43309" w:rsidTr="0E11B9CF" w14:paraId="3EE27706" w14:textId="77777777">
        <w:trPr>
          <w:trHeight w:val="720"/>
        </w:trPr>
        <w:tc>
          <w:tcPr>
            <w:tcW w:w="2639" w:type="dxa"/>
            <w:vMerge/>
            <w:tcMar/>
            <w:vAlign w:val="center"/>
          </w:tcPr>
          <w:p w:rsidRPr="00D1117D" w:rsidR="00D1117D" w:rsidP="007A6757" w:rsidRDefault="00D1117D" w14:paraId="075FC197" w14:textId="77777777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AE8F8"/>
            <w:tcMar/>
            <w:vAlign w:val="center"/>
          </w:tcPr>
          <w:p w:rsidRPr="00D1117D" w:rsidR="00D1117D" w:rsidP="0E11B9CF" w:rsidRDefault="00D1117D" w14:paraId="7F927F7D" w14:textId="77777777" w14:noSpellErr="1">
            <w:pPr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Percentage of graduates employed in healthcare positions within six months of completion</w:t>
            </w:r>
          </w:p>
        </w:tc>
        <w:tc>
          <w:tcPr>
            <w:tcW w:w="2695" w:type="dxa"/>
            <w:shd w:val="clear" w:color="auto" w:fill="DAE8F8"/>
            <w:tcMar/>
            <w:vAlign w:val="center"/>
          </w:tcPr>
          <w:p w:rsidRPr="00D1117D" w:rsidR="00D1117D" w:rsidP="0E11B9CF" w:rsidRDefault="00D1117D" w14:paraId="3231E31C" w14:textId="77777777" w14:noSpellErr="1">
            <w:pPr>
              <w:spacing/>
              <w:contextualSpacing/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70% employed in a rural parish </w:t>
            </w:r>
          </w:p>
        </w:tc>
      </w:tr>
      <w:tr w:rsidRPr="00177659" w:rsidR="00B43309" w:rsidTr="0E11B9CF" w14:paraId="1F50DE1C" w14:textId="77777777">
        <w:trPr>
          <w:trHeight w:val="432"/>
        </w:trPr>
        <w:tc>
          <w:tcPr>
            <w:tcW w:w="2639" w:type="dxa"/>
            <w:shd w:val="clear" w:color="auto" w:fill="DAE8F8"/>
            <w:tcMar/>
            <w:vAlign w:val="center"/>
          </w:tcPr>
          <w:p w:rsidRPr="00D1117D" w:rsidR="00D1117D" w:rsidP="0E11B9CF" w:rsidRDefault="00D1117D" w14:paraId="10FCF075" w14:textId="77777777" w14:noSpellErr="1">
            <w:pPr>
              <w:spacing/>
              <w:contextualSpacing/>
              <w:rPr>
                <w:rFonts w:ascii="Times New Roman" w:hAnsi="Times New Roman" w:cs="Times New Roman"/>
                <w:i w:val="1"/>
                <w:iCs w:val="1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  <w:t>Objective 2</w:t>
            </w:r>
          </w:p>
        </w:tc>
        <w:tc>
          <w:tcPr>
            <w:tcW w:w="4016" w:type="dxa"/>
            <w:shd w:val="clear" w:color="auto" w:fill="DAE8F8"/>
            <w:tcMar/>
            <w:vAlign w:val="center"/>
          </w:tcPr>
          <w:p w:rsidRPr="00D1117D" w:rsidR="00D1117D" w:rsidP="0E11B9CF" w:rsidRDefault="00D1117D" w14:paraId="52A172B9" w14:textId="77777777" w14:noSpellErr="1">
            <w:pPr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AE8F8"/>
            <w:tcMar/>
            <w:vAlign w:val="center"/>
          </w:tcPr>
          <w:p w:rsidRPr="00D1117D" w:rsidR="00D1117D" w:rsidP="0E11B9CF" w:rsidRDefault="00D1117D" w14:paraId="16BB0238" w14:textId="77777777" w14:noSpellErr="1">
            <w:pPr>
              <w:spacing/>
              <w:contextualSpacing/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</w:p>
        </w:tc>
      </w:tr>
      <w:tr w:rsidRPr="00177659" w:rsidR="00B43309" w:rsidTr="0E11B9CF" w14:paraId="4807F187" w14:textId="77777777">
        <w:trPr>
          <w:trHeight w:val="432"/>
        </w:trPr>
        <w:tc>
          <w:tcPr>
            <w:tcW w:w="2639" w:type="dxa"/>
            <w:shd w:val="clear" w:color="auto" w:fill="DAE8F8"/>
            <w:tcMar/>
            <w:vAlign w:val="center"/>
          </w:tcPr>
          <w:p w:rsidRPr="00D1117D" w:rsidR="00D1117D" w:rsidP="0E11B9CF" w:rsidRDefault="00D1117D" w14:paraId="7C65A1C0" w14:textId="77777777" w14:noSpellErr="1">
            <w:pPr>
              <w:spacing/>
              <w:contextualSpacing/>
              <w:rPr>
                <w:rFonts w:ascii="Times New Roman" w:hAnsi="Times New Roman" w:cs="Times New Roman"/>
                <w:i w:val="1"/>
                <w:iCs w:val="1"/>
                <w:color w:val="auto" w:themeColor="text1"/>
                <w:sz w:val="20"/>
                <w:szCs w:val="20"/>
              </w:rPr>
            </w:pPr>
            <w:r w:rsidRPr="0E11B9CF" w:rsidR="0E11B9CF"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  <w:t>Objective 3</w:t>
            </w:r>
          </w:p>
        </w:tc>
        <w:tc>
          <w:tcPr>
            <w:tcW w:w="4016" w:type="dxa"/>
            <w:shd w:val="clear" w:color="auto" w:fill="DAE8F8"/>
            <w:tcMar/>
            <w:vAlign w:val="center"/>
          </w:tcPr>
          <w:p w:rsidRPr="00D1117D" w:rsidR="00D1117D" w:rsidP="0E11B9CF" w:rsidRDefault="00D1117D" w14:paraId="61FB2AD3" w14:textId="77777777" w14:noSpellErr="1">
            <w:pPr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AE8F8"/>
            <w:tcMar/>
            <w:vAlign w:val="center"/>
          </w:tcPr>
          <w:p w:rsidRPr="00D1117D" w:rsidR="00D1117D" w:rsidP="0E11B9CF" w:rsidRDefault="00D1117D" w14:paraId="7BA6C607" w14:textId="77777777" w14:noSpellErr="1">
            <w:pPr>
              <w:spacing/>
              <w:contextualSpacing/>
              <w:rPr>
                <w:rFonts w:ascii="Times New Roman" w:hAnsi="Times New Roman" w:cs="Times New Roman"/>
                <w:color w:val="auto" w:themeColor="text1"/>
                <w:sz w:val="20"/>
                <w:szCs w:val="20"/>
              </w:rPr>
            </w:pPr>
          </w:p>
        </w:tc>
      </w:tr>
    </w:tbl>
    <w:p w:rsidRPr="00B43309" w:rsidR="00254102" w:rsidP="0E11B9CF" w:rsidRDefault="00254102" w14:paraId="093AE5CC" w14:textId="77777777" w14:noSpellErr="1">
      <w:pPr>
        <w:spacing w:after="0" w:line="240" w:lineRule="auto"/>
        <w:rPr>
          <w:rFonts w:ascii="Times New Roman" w:hAnsi="Times New Roman" w:cs="Times New Roman"/>
          <w:color w:val="4C94D8" w:themeColor="text2" w:themeTint="80" w:themeShade="FF"/>
        </w:rPr>
      </w:pPr>
    </w:p>
    <w:p w:rsidRPr="00B43309" w:rsidR="00634528" w:rsidP="0E11B9CF" w:rsidRDefault="00634528" w14:paraId="137D021E" w14:textId="6FDA386D" w14:noSpellErr="1">
      <w:pPr>
        <w:pStyle w:val="NoSpacing"/>
        <w:spacing w:line="259" w:lineRule="auto"/>
        <w:rPr>
          <w:rFonts w:ascii="Times New Roman" w:hAnsi="Times New Roman" w:cs="Times New Roman"/>
          <w:color w:val="4C94D8" w:themeColor="text2" w:themeTint="80" w:themeShade="FF"/>
        </w:rPr>
      </w:pPr>
      <w:r w:rsidRPr="0E11B9CF" w:rsidR="0E11B9CF">
        <w:rPr>
          <w:rFonts w:ascii="Times New Roman" w:hAnsi="Times New Roman" w:cs="Times New Roman"/>
          <w:b w:val="1"/>
          <w:bCs w:val="1"/>
          <w:color w:val="4C94D8" w:themeColor="text2" w:themeTint="80" w:themeShade="FF"/>
        </w:rPr>
        <w:t>Section V. Alignment with ACT 607 (HB329):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Please provide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a detailed explanation of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how this partnership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aligns with and supports the priorities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established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under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  <w:r w:rsidRPr="0E11B9CF" w:rsidR="0E11B9CF">
        <w:rPr>
          <w:rFonts w:ascii="Times New Roman" w:hAnsi="Times New Roman" w:cs="Times New Roman"/>
          <w:color w:val="4C94D8" w:themeColor="text2" w:themeTint="80" w:themeShade="FF"/>
        </w:rPr>
        <w:t>ACT 607 (HB 329).</w:t>
      </w:r>
    </w:p>
    <w:p w:rsidRPr="00B43309" w:rsidR="00EE2ADA" w:rsidP="007A6757" w:rsidRDefault="00EE2ADA" w14:paraId="2F041A38" w14:textId="77777777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Pr="00B43309" w:rsidR="00EE2ADA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757" w:rsidP="007A6757" w:rsidRDefault="007A6757" w14:paraId="60977643" w14:textId="77777777">
      <w:pPr>
        <w:spacing w:after="0" w:line="240" w:lineRule="auto"/>
      </w:pPr>
      <w:r>
        <w:separator/>
      </w:r>
    </w:p>
  </w:endnote>
  <w:endnote w:type="continuationSeparator" w:id="0">
    <w:p w:rsidR="007A6757" w:rsidP="007A6757" w:rsidRDefault="007A6757" w14:paraId="7BB394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4356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Pr="007A6757" w:rsidR="007A6757" w:rsidRDefault="007A6757" w14:paraId="6D23E514" w14:textId="7D9E4FCB">
        <w:pPr>
          <w:pStyle w:val="Footer"/>
          <w:jc w:val="right"/>
          <w:rPr>
            <w:rFonts w:ascii="Times New Roman" w:hAnsi="Times New Roman" w:cs="Times New Roman"/>
          </w:rPr>
        </w:pPr>
        <w:r w:rsidRPr="007A6757">
          <w:rPr>
            <w:rFonts w:ascii="Times New Roman" w:hAnsi="Times New Roman" w:cs="Times New Roman"/>
          </w:rPr>
          <w:fldChar w:fldCharType="begin"/>
        </w:r>
        <w:r w:rsidRPr="007A6757">
          <w:rPr>
            <w:rFonts w:ascii="Times New Roman" w:hAnsi="Times New Roman" w:cs="Times New Roman"/>
          </w:rPr>
          <w:instrText xml:space="preserve"> PAGE   \* MERGEFORMAT </w:instrText>
        </w:r>
        <w:r w:rsidRPr="007A6757">
          <w:rPr>
            <w:rFonts w:ascii="Times New Roman" w:hAnsi="Times New Roman" w:cs="Times New Roman"/>
          </w:rPr>
          <w:fldChar w:fldCharType="separate"/>
        </w:r>
        <w:r w:rsidRPr="007A6757">
          <w:rPr>
            <w:rFonts w:ascii="Times New Roman" w:hAnsi="Times New Roman" w:cs="Times New Roman"/>
            <w:noProof/>
          </w:rPr>
          <w:t>2</w:t>
        </w:r>
        <w:r w:rsidRPr="007A675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A6757" w:rsidRDefault="007A6757" w14:paraId="1DE23A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757" w:rsidP="007A6757" w:rsidRDefault="007A6757" w14:paraId="6C4F3126" w14:textId="77777777">
      <w:pPr>
        <w:spacing w:after="0" w:line="240" w:lineRule="auto"/>
      </w:pPr>
      <w:r>
        <w:separator/>
      </w:r>
    </w:p>
  </w:footnote>
  <w:footnote w:type="continuationSeparator" w:id="0">
    <w:p w:rsidR="007A6757" w:rsidP="007A6757" w:rsidRDefault="007A6757" w14:paraId="292FD3F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0B4"/>
    <w:multiLevelType w:val="multilevel"/>
    <w:tmpl w:val="1790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864D95"/>
    <w:multiLevelType w:val="multilevel"/>
    <w:tmpl w:val="15CC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248BC"/>
    <w:multiLevelType w:val="multilevel"/>
    <w:tmpl w:val="28B8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4872665"/>
    <w:multiLevelType w:val="multilevel"/>
    <w:tmpl w:val="3520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C65C03"/>
    <w:multiLevelType w:val="multilevel"/>
    <w:tmpl w:val="74D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C4B4903"/>
    <w:multiLevelType w:val="hybridMultilevel"/>
    <w:tmpl w:val="7902A7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E079A2"/>
    <w:multiLevelType w:val="multilevel"/>
    <w:tmpl w:val="116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7787B29"/>
    <w:multiLevelType w:val="hybridMultilevel"/>
    <w:tmpl w:val="F63A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042281"/>
    <w:multiLevelType w:val="hybridMultilevel"/>
    <w:tmpl w:val="9C90DB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807CDB"/>
    <w:multiLevelType w:val="multilevel"/>
    <w:tmpl w:val="75CC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14842380">
    <w:abstractNumId w:val="7"/>
  </w:num>
  <w:num w:numId="2" w16cid:durableId="1188833872">
    <w:abstractNumId w:val="1"/>
  </w:num>
  <w:num w:numId="3" w16cid:durableId="190844131">
    <w:abstractNumId w:val="9"/>
  </w:num>
  <w:num w:numId="4" w16cid:durableId="1676883814">
    <w:abstractNumId w:val="3"/>
  </w:num>
  <w:num w:numId="5" w16cid:durableId="494881086">
    <w:abstractNumId w:val="0"/>
  </w:num>
  <w:num w:numId="6" w16cid:durableId="691885504">
    <w:abstractNumId w:val="2"/>
  </w:num>
  <w:num w:numId="7" w16cid:durableId="1503622671">
    <w:abstractNumId w:val="8"/>
  </w:num>
  <w:num w:numId="8" w16cid:durableId="1527870563">
    <w:abstractNumId w:val="5"/>
  </w:num>
  <w:num w:numId="9" w16cid:durableId="151340801">
    <w:abstractNumId w:val="6"/>
  </w:num>
  <w:num w:numId="10" w16cid:durableId="565843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1MDE3tTAztbAAIiUdpeDU4uLM/DyQAqNaAMFifIUsAAAA"/>
  </w:docVars>
  <w:rsids>
    <w:rsidRoot w:val="00EE2ADA"/>
    <w:rsid w:val="000034EC"/>
    <w:rsid w:val="00024386"/>
    <w:rsid w:val="000B245C"/>
    <w:rsid w:val="000C5886"/>
    <w:rsid w:val="00113E7B"/>
    <w:rsid w:val="00177659"/>
    <w:rsid w:val="00177C78"/>
    <w:rsid w:val="00180FEF"/>
    <w:rsid w:val="001C3F4C"/>
    <w:rsid w:val="001D25AD"/>
    <w:rsid w:val="00254102"/>
    <w:rsid w:val="002C2BAD"/>
    <w:rsid w:val="0034421F"/>
    <w:rsid w:val="0035337D"/>
    <w:rsid w:val="0048701A"/>
    <w:rsid w:val="004F020B"/>
    <w:rsid w:val="005B797B"/>
    <w:rsid w:val="0060126B"/>
    <w:rsid w:val="00634528"/>
    <w:rsid w:val="00755096"/>
    <w:rsid w:val="007A6757"/>
    <w:rsid w:val="007E1D1C"/>
    <w:rsid w:val="00910B1D"/>
    <w:rsid w:val="00A00145"/>
    <w:rsid w:val="00A0441B"/>
    <w:rsid w:val="00A41C86"/>
    <w:rsid w:val="00B305F6"/>
    <w:rsid w:val="00B41765"/>
    <w:rsid w:val="00B43309"/>
    <w:rsid w:val="00B6463C"/>
    <w:rsid w:val="00B71E22"/>
    <w:rsid w:val="00C43555"/>
    <w:rsid w:val="00C56736"/>
    <w:rsid w:val="00D1117D"/>
    <w:rsid w:val="00D123B1"/>
    <w:rsid w:val="00E50D3E"/>
    <w:rsid w:val="00E721DA"/>
    <w:rsid w:val="00ED01A3"/>
    <w:rsid w:val="00EE2ADA"/>
    <w:rsid w:val="00F1654C"/>
    <w:rsid w:val="00F36AA0"/>
    <w:rsid w:val="00F54330"/>
    <w:rsid w:val="00F64DA2"/>
    <w:rsid w:val="0E11B9CF"/>
    <w:rsid w:val="1F69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5741"/>
  <w15:chartTrackingRefBased/>
  <w15:docId w15:val="{C7526EC8-F332-47C3-8D60-0E637CB4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2ADA"/>
  </w:style>
  <w:style w:type="paragraph" w:styleId="Heading1">
    <w:name w:val="heading 1"/>
    <w:basedOn w:val="Normal"/>
    <w:next w:val="Normal"/>
    <w:link w:val="Heading1Char"/>
    <w:uiPriority w:val="9"/>
    <w:qFormat/>
    <w:rsid w:val="00EE2A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A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2A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2A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2A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2A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2A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2A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2A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2A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2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A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2A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2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A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2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A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2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A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4528"/>
    <w:pPr>
      <w:spacing w:after="0" w:line="240" w:lineRule="auto"/>
    </w:pPr>
  </w:style>
  <w:style w:type="paragraph" w:styleId="Revision">
    <w:name w:val="Revision"/>
    <w:hidden/>
    <w:uiPriority w:val="99"/>
    <w:semiHidden/>
    <w:rsid w:val="001C3F4C"/>
    <w:pPr>
      <w:spacing w:after="0" w:line="240" w:lineRule="auto"/>
    </w:pPr>
  </w:style>
  <w:style w:type="table" w:styleId="TableGrid">
    <w:name w:val="Table Grid"/>
    <w:basedOn w:val="TableNormal"/>
    <w:uiPriority w:val="59"/>
    <w:rsid w:val="00D1117D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A67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6757"/>
  </w:style>
  <w:style w:type="paragraph" w:styleId="Footer">
    <w:name w:val="footer"/>
    <w:basedOn w:val="Normal"/>
    <w:link w:val="FooterChar"/>
    <w:uiPriority w:val="99"/>
    <w:unhideWhenUsed/>
    <w:rsid w:val="007A67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47c01-c6ca-4953-aaa7-0751c4bc9f25" xsi:nil="true"/>
    <lcf76f155ced4ddcb4097134ff3c332f xmlns="2f700f31-77d1-4397-92fb-2ed0ee359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DC51ACF40714DAE9DCEF8C9E1C139" ma:contentTypeVersion="13" ma:contentTypeDescription="Create a new document." ma:contentTypeScope="" ma:versionID="67daa0ec77af1da507faede09cf83bd7">
  <xsd:schema xmlns:xsd="http://www.w3.org/2001/XMLSchema" xmlns:xs="http://www.w3.org/2001/XMLSchema" xmlns:p="http://schemas.microsoft.com/office/2006/metadata/properties" xmlns:ns2="2f700f31-77d1-4397-92fb-2ed0ee359e2e" xmlns:ns3="54b47c01-c6ca-4953-aaa7-0751c4bc9f25" targetNamespace="http://schemas.microsoft.com/office/2006/metadata/properties" ma:root="true" ma:fieldsID="bc3a61254238796bd63efc74faa11452" ns2:_="" ns3:_="">
    <xsd:import namespace="2f700f31-77d1-4397-92fb-2ed0ee359e2e"/>
    <xsd:import namespace="54b47c01-c6ca-4953-aaa7-0751c4bc9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00f31-77d1-4397-92fb-2ed0ee359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e368e9-6ba0-40f2-91e8-467b7e7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47c01-c6ca-4953-aaa7-0751c4bc9f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c39931-5ec7-45e0-a33c-9980e95f2b61}" ma:internalName="TaxCatchAll" ma:showField="CatchAllData" ma:web="54b47c01-c6ca-4953-aaa7-0751c4bc9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AC9EF-2B56-44E7-A82C-C2C5C885D479}">
  <ds:schemaRefs>
    <ds:schemaRef ds:uri="http://schemas.microsoft.com/office/2006/metadata/properties"/>
    <ds:schemaRef ds:uri="http://schemas.microsoft.com/office/infopath/2007/PartnerControls"/>
    <ds:schemaRef ds:uri="54b47c01-c6ca-4953-aaa7-0751c4bc9f25"/>
    <ds:schemaRef ds:uri="2f700f31-77d1-4397-92fb-2ed0ee359e2e"/>
  </ds:schemaRefs>
</ds:datastoreItem>
</file>

<file path=customXml/itemProps2.xml><?xml version="1.0" encoding="utf-8"?>
<ds:datastoreItem xmlns:ds="http://schemas.openxmlformats.org/officeDocument/2006/customXml" ds:itemID="{F66ECAB9-79F4-40A5-93FF-975E45446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00f31-77d1-4397-92fb-2ed0ee359e2e"/>
    <ds:schemaRef ds:uri="54b47c01-c6ca-4953-aaa7-0751c4bc9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3BECC-9443-44B3-B79E-357D3A5D26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Laborde</dc:creator>
  <keywords/>
  <dc:description/>
  <lastModifiedBy>Matthew Laborde</lastModifiedBy>
  <revision>34</revision>
  <dcterms:created xsi:type="dcterms:W3CDTF">2025-10-09T15:03:00.0000000Z</dcterms:created>
  <dcterms:modified xsi:type="dcterms:W3CDTF">2025-10-23T22:53:07.5807113Z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0x010100807DC51ACF40714DAE9DCEF8C9E1C139</vt:lpwstr>
  </property>
  <property fmtid="{D5CDD505-2E9C-101B-9397-08002B2CF9AE}" pid="3" name="MediaServiceImageTags">
    <vt:lpwstr/>
  </property>
</Properties>
</file>