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0DE" w:rsidRPr="00B8447D" w:rsidRDefault="00FB30DE" w:rsidP="00FB30DE">
      <w:pPr>
        <w:spacing w:after="0"/>
        <w:rPr>
          <w:rFonts w:eastAsia="Times New Roman" w:cs="Times New Roman"/>
          <w:b/>
          <w:i/>
          <w:color w:val="2F5496" w:themeColor="accent5" w:themeShade="BF"/>
          <w:sz w:val="44"/>
          <w:szCs w:val="44"/>
        </w:rPr>
      </w:pPr>
      <w:r w:rsidRPr="00E51437">
        <w:rPr>
          <w:rFonts w:eastAsia="Times New Roman" w:cs="Times New Roman"/>
          <w:b/>
          <w:i/>
          <w:color w:val="2F5496" w:themeColor="accent5" w:themeShade="BF"/>
          <w:sz w:val="44"/>
          <w:szCs w:val="44"/>
        </w:rPr>
        <w:t>Independent Review</w:t>
      </w:r>
      <w:r>
        <w:rPr>
          <w:rFonts w:eastAsia="Times New Roman" w:cs="Times New Roman"/>
          <w:b/>
          <w:i/>
          <w:color w:val="2F5496" w:themeColor="accent5" w:themeShade="BF"/>
          <w:sz w:val="44"/>
          <w:szCs w:val="44"/>
        </w:rPr>
        <w:t xml:space="preserve"> Panel</w:t>
      </w:r>
      <w:r w:rsidRPr="00E51437">
        <w:rPr>
          <w:rFonts w:eastAsia="Times New Roman" w:cs="Times New Roman"/>
          <w:b/>
          <w:i/>
          <w:color w:val="2F5496" w:themeColor="accent5" w:themeShade="BF"/>
          <w:sz w:val="44"/>
          <w:szCs w:val="44"/>
        </w:rPr>
        <w:t xml:space="preserve"> Meeting</w:t>
      </w: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442"/>
        <w:gridCol w:w="7908"/>
      </w:tblGrid>
      <w:tr w:rsidR="00FB30DE" w:rsidRPr="00CE6342" w:rsidTr="00845A1F">
        <w:trPr>
          <w:trHeight w:val="288"/>
        </w:trPr>
        <w:tc>
          <w:tcPr>
            <w:tcW w:w="1538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</w:tcPr>
          <w:p w:rsidR="00FB30DE" w:rsidRPr="00170039" w:rsidRDefault="00FB30DE" w:rsidP="00845A1F">
            <w:pPr>
              <w:spacing w:after="0"/>
              <w:rPr>
                <w:rFonts w:eastAsia="Times New Roman" w:cs="Times New Roman"/>
                <w:b/>
              </w:rPr>
            </w:pPr>
            <w:r w:rsidRPr="00170039">
              <w:rPr>
                <w:rFonts w:eastAsia="Times New Roman" w:cs="Times New Roman"/>
                <w:b/>
              </w:rPr>
              <w:t>Date</w:t>
            </w:r>
          </w:p>
        </w:tc>
        <w:tc>
          <w:tcPr>
            <w:tcW w:w="9252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</w:tcPr>
          <w:p w:rsidR="00FB30DE" w:rsidRDefault="00BD5A3A" w:rsidP="00371DAF">
            <w:pPr>
              <w:spacing w:after="0"/>
              <w:rPr>
                <w:rFonts w:eastAsia="Times New Roman" w:cs="Times New Roman"/>
                <w:b/>
              </w:rPr>
            </w:pPr>
            <w:sdt>
              <w:sdtPr>
                <w:rPr>
                  <w:rFonts w:eastAsia="Times New Roman" w:cs="Times New Roman"/>
                </w:rPr>
                <w:id w:val="1206297926"/>
                <w:placeholder>
                  <w:docPart w:val="F652434FC85742D59AB162DE257338B1"/>
                </w:placeholder>
                <w:date w:fullDate="2018-04-02T00:00:00Z">
                  <w:dateFormat w:val="dddd, MMMM d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371DAF">
                  <w:rPr>
                    <w:rFonts w:eastAsia="Times New Roman" w:cs="Times New Roman"/>
                  </w:rPr>
                  <w:t>Monday, April 02, 2018</w:t>
                </w:r>
              </w:sdtContent>
            </w:sdt>
          </w:p>
        </w:tc>
      </w:tr>
      <w:tr w:rsidR="00FB30DE" w:rsidTr="00845A1F">
        <w:trPr>
          <w:trHeight w:val="288"/>
        </w:trPr>
        <w:tc>
          <w:tcPr>
            <w:tcW w:w="1538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</w:tcPr>
          <w:p w:rsidR="00FB30DE" w:rsidRPr="00170039" w:rsidRDefault="00FB30DE" w:rsidP="00845A1F">
            <w:pPr>
              <w:spacing w:after="0"/>
              <w:rPr>
                <w:rFonts w:eastAsia="Times New Roman" w:cs="Times New Roman"/>
                <w:b/>
              </w:rPr>
            </w:pPr>
            <w:r w:rsidRPr="00170039">
              <w:rPr>
                <w:rFonts w:eastAsia="Times New Roman" w:cs="Times New Roman"/>
                <w:b/>
              </w:rPr>
              <w:t>Time</w:t>
            </w:r>
          </w:p>
        </w:tc>
        <w:tc>
          <w:tcPr>
            <w:tcW w:w="9252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</w:tcPr>
          <w:p w:rsidR="00FB30DE" w:rsidRPr="00D0795B" w:rsidRDefault="00920A52" w:rsidP="00845A1F">
            <w:pPr>
              <w:pStyle w:val="NoSpacing"/>
            </w:pPr>
            <w:r>
              <w:t>9:30</w:t>
            </w:r>
            <w:r w:rsidR="00FB30DE">
              <w:t xml:space="preserve"> am</w:t>
            </w:r>
          </w:p>
        </w:tc>
      </w:tr>
      <w:tr w:rsidR="00FB30DE" w:rsidTr="00845A1F">
        <w:trPr>
          <w:trHeight w:val="36"/>
        </w:trPr>
        <w:tc>
          <w:tcPr>
            <w:tcW w:w="1538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</w:tcPr>
          <w:p w:rsidR="00FB30DE" w:rsidRPr="00170039" w:rsidRDefault="00FB30DE" w:rsidP="00845A1F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170039">
              <w:rPr>
                <w:rFonts w:eastAsia="Times New Roman" w:cs="Times New Roman"/>
                <w:b/>
              </w:rPr>
              <w:t>Location</w:t>
            </w:r>
          </w:p>
        </w:tc>
        <w:tc>
          <w:tcPr>
            <w:tcW w:w="9252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</w:tcPr>
          <w:p w:rsidR="00FB30DE" w:rsidRPr="00290C5B" w:rsidRDefault="00FB30DE" w:rsidP="00920A52">
            <w:pPr>
              <w:pStyle w:val="NoSpacing"/>
            </w:pPr>
            <w:r w:rsidRPr="00290C5B">
              <w:t xml:space="preserve">Bienville Building, Room </w:t>
            </w:r>
            <w:r w:rsidR="00920A52">
              <w:t>671-673</w:t>
            </w:r>
            <w:r>
              <w:t>,</w:t>
            </w:r>
            <w:r w:rsidRPr="00290C5B">
              <w:t xml:space="preserve"> 628 North </w:t>
            </w:r>
            <w:r w:rsidRPr="00290C5B">
              <w:rPr>
                <w:rFonts w:eastAsia="Times New Roman" w:cs="Times New Roman"/>
              </w:rPr>
              <w:t>4th Street</w:t>
            </w:r>
            <w:r w:rsidRPr="00290C5B">
              <w:t>, Baton Rouge, LA 70802</w:t>
            </w:r>
          </w:p>
        </w:tc>
      </w:tr>
      <w:tr w:rsidR="00FB30DE" w:rsidTr="00845A1F">
        <w:trPr>
          <w:trHeight w:val="288"/>
        </w:trPr>
        <w:tc>
          <w:tcPr>
            <w:tcW w:w="1538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</w:tcPr>
          <w:p w:rsidR="00FB30DE" w:rsidRPr="00170039" w:rsidRDefault="00FB30DE" w:rsidP="00845A1F">
            <w:pPr>
              <w:spacing w:after="0"/>
              <w:rPr>
                <w:rFonts w:eastAsia="Times New Roman" w:cs="Times New Roman"/>
                <w:b/>
              </w:rPr>
            </w:pPr>
            <w:r w:rsidRPr="00170039">
              <w:rPr>
                <w:rFonts w:eastAsia="Times New Roman" w:cs="Times New Roman"/>
                <w:b/>
              </w:rPr>
              <w:t>Facilitator</w:t>
            </w:r>
          </w:p>
        </w:tc>
        <w:tc>
          <w:tcPr>
            <w:tcW w:w="9252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  <w:vAlign w:val="center"/>
          </w:tcPr>
          <w:p w:rsidR="00FB30DE" w:rsidRPr="00D0795B" w:rsidRDefault="00FB30DE" w:rsidP="00845A1F">
            <w:pPr>
              <w:spacing w:after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Michael Boutte</w:t>
            </w:r>
          </w:p>
        </w:tc>
      </w:tr>
      <w:tr w:rsidR="00FB30DE" w:rsidTr="00845A1F">
        <w:trPr>
          <w:trHeight w:val="288"/>
        </w:trPr>
        <w:tc>
          <w:tcPr>
            <w:tcW w:w="1538" w:type="dxa"/>
            <w:tcBorders>
              <w:top w:val="single" w:sz="12" w:space="0" w:color="BFBFBF" w:themeColor="background1" w:themeShade="BF"/>
            </w:tcBorders>
            <w:shd w:val="clear" w:color="auto" w:fill="auto"/>
          </w:tcPr>
          <w:p w:rsidR="00FB30DE" w:rsidRPr="00170039" w:rsidRDefault="00FB30DE" w:rsidP="00845A1F">
            <w:pPr>
              <w:spacing w:after="0"/>
              <w:rPr>
                <w:rFonts w:eastAsia="Times New Roman" w:cs="Times New Roman"/>
                <w:b/>
              </w:rPr>
            </w:pPr>
            <w:r w:rsidRPr="00170039">
              <w:rPr>
                <w:rFonts w:eastAsia="Times New Roman" w:cs="Times New Roman"/>
                <w:b/>
              </w:rPr>
              <w:t>Note Taker</w:t>
            </w:r>
          </w:p>
        </w:tc>
        <w:tc>
          <w:tcPr>
            <w:tcW w:w="9252" w:type="dxa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p w:rsidR="00FB30DE" w:rsidRPr="00D0795B" w:rsidRDefault="00FB30DE" w:rsidP="00845A1F">
            <w:pPr>
              <w:spacing w:after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Deidra Hickman</w:t>
            </w:r>
          </w:p>
        </w:tc>
      </w:tr>
    </w:tbl>
    <w:p w:rsidR="00FB30DE" w:rsidRDefault="00FB30DE" w:rsidP="00FB30DE">
      <w:pPr>
        <w:spacing w:after="0"/>
        <w:rPr>
          <w:rFonts w:eastAsia="Times New Roman" w:cs="Times New Roman"/>
        </w:rPr>
      </w:pPr>
    </w:p>
    <w:p w:rsidR="00FB30DE" w:rsidRPr="00AF7E2A" w:rsidRDefault="00FB30DE" w:rsidP="00FB30DE">
      <w:pPr>
        <w:spacing w:after="0"/>
        <w:rPr>
          <w:rFonts w:eastAsia="Times New Roman" w:cs="Times New Roman"/>
          <w:b/>
          <w:sz w:val="28"/>
        </w:rPr>
      </w:pPr>
      <w:r w:rsidRPr="00AF7E2A">
        <w:rPr>
          <w:rFonts w:eastAsia="Times New Roman" w:cs="Times New Roman"/>
          <w:b/>
          <w:sz w:val="28"/>
        </w:rPr>
        <w:t>Attendees:</w:t>
      </w: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9350"/>
      </w:tblGrid>
      <w:tr w:rsidR="00FB30DE" w:rsidRPr="00D0795B" w:rsidTr="00845A1F">
        <w:trPr>
          <w:trHeight w:val="288"/>
        </w:trPr>
        <w:tc>
          <w:tcPr>
            <w:tcW w:w="10790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  <w:vAlign w:val="center"/>
          </w:tcPr>
          <w:p w:rsidR="00FB30DE" w:rsidRDefault="00FB30DE" w:rsidP="00845A1F">
            <w:pPr>
              <w:pStyle w:val="NoSpacing"/>
            </w:pPr>
            <w:r w:rsidRPr="00AF7E2A">
              <w:t>Michael Boutte: present</w:t>
            </w:r>
            <w:r>
              <w:t xml:space="preserve"> in person</w:t>
            </w:r>
          </w:p>
          <w:p w:rsidR="00FB30DE" w:rsidRPr="00AF7E2A" w:rsidRDefault="00FB30DE" w:rsidP="00845A1F">
            <w:pPr>
              <w:pStyle w:val="NoSpacing"/>
            </w:pPr>
            <w:r w:rsidRPr="00AF7E2A">
              <w:t>Kevin Bridwell: present</w:t>
            </w:r>
            <w:r>
              <w:t xml:space="preserve"> in person</w:t>
            </w:r>
          </w:p>
          <w:p w:rsidR="00FB30DE" w:rsidRDefault="00FB30DE" w:rsidP="00845A1F">
            <w:pPr>
              <w:pStyle w:val="NoSpacing"/>
            </w:pPr>
            <w:r w:rsidRPr="00AF7E2A">
              <w:t xml:space="preserve">Keith Winfrey: </w:t>
            </w:r>
            <w:r>
              <w:t>present via telephone (non-voting capacity)</w:t>
            </w:r>
          </w:p>
          <w:p w:rsidR="00FB30DE" w:rsidRPr="00AF7E2A" w:rsidRDefault="00FB30DE" w:rsidP="00845A1F">
            <w:pPr>
              <w:spacing w:after="0"/>
            </w:pPr>
            <w:r w:rsidRPr="00AF7E2A">
              <w:t xml:space="preserve">Virginia Plaisance: present </w:t>
            </w:r>
            <w:r>
              <w:t>in person</w:t>
            </w:r>
          </w:p>
          <w:p w:rsidR="00FB30DE" w:rsidRDefault="00FB30DE" w:rsidP="00845A1F">
            <w:pPr>
              <w:pStyle w:val="NoSpacing"/>
            </w:pPr>
            <w:r w:rsidRPr="00AF7E2A">
              <w:t xml:space="preserve">Laurie Jewell: LDH staff, </w:t>
            </w:r>
            <w:r>
              <w:t xml:space="preserve">present in person, </w:t>
            </w:r>
            <w:r w:rsidRPr="00AF7E2A">
              <w:t>non-voting</w:t>
            </w:r>
          </w:p>
          <w:p w:rsidR="00FB30DE" w:rsidRDefault="00FB30DE" w:rsidP="00845A1F">
            <w:pPr>
              <w:pStyle w:val="NoSpacing"/>
            </w:pPr>
            <w:r>
              <w:t>Stacy Guidry:  LDH staff, present via telephone, non-voting</w:t>
            </w:r>
          </w:p>
          <w:p w:rsidR="00FB30DE" w:rsidRDefault="00FB30DE" w:rsidP="00845A1F">
            <w:pPr>
              <w:pStyle w:val="NoSpacing"/>
            </w:pPr>
            <w:r>
              <w:t>Kayla Gourgues: LDH staff, present in person, non-voting</w:t>
            </w:r>
          </w:p>
          <w:p w:rsidR="00920A52" w:rsidRDefault="00920A52" w:rsidP="00845A1F">
            <w:pPr>
              <w:pStyle w:val="NoSpacing"/>
            </w:pPr>
            <w:r>
              <w:t>Whitney Martinez: LDH staff, present via telephone, non-voting</w:t>
            </w:r>
          </w:p>
          <w:p w:rsidR="002670F1" w:rsidRPr="00AF7E2A" w:rsidRDefault="002670F1" w:rsidP="00845A1F">
            <w:pPr>
              <w:pStyle w:val="NoSpacing"/>
              <w:rPr>
                <w:rFonts w:eastAsia="Times New Roman" w:cs="Times New Roman"/>
              </w:rPr>
            </w:pPr>
            <w:r>
              <w:t>Deidra Hickman: LDH staff, present in person, non-voting</w:t>
            </w:r>
          </w:p>
        </w:tc>
      </w:tr>
    </w:tbl>
    <w:p w:rsidR="00FB30DE" w:rsidRPr="00A86B79" w:rsidRDefault="00FB30DE" w:rsidP="00FB30DE">
      <w:pPr>
        <w:spacing w:after="0"/>
        <w:rPr>
          <w:rFonts w:eastAsia="Times New Roman" w:cs="Times New Roman"/>
        </w:rPr>
      </w:pPr>
    </w:p>
    <w:p w:rsidR="00FB30DE" w:rsidRPr="00AF7E2A" w:rsidRDefault="00FB30DE" w:rsidP="00FB30DE">
      <w:pPr>
        <w:spacing w:after="0"/>
        <w:rPr>
          <w:rFonts w:eastAsia="Times New Roman" w:cs="Times New Roman"/>
          <w:b/>
          <w:sz w:val="28"/>
        </w:rPr>
      </w:pPr>
      <w:bookmarkStart w:id="0" w:name="MinuteTopicSection"/>
      <w:r w:rsidRPr="00AF7E2A">
        <w:rPr>
          <w:rFonts w:eastAsia="Times New Roman" w:cs="Times New Roman"/>
          <w:b/>
          <w:sz w:val="28"/>
        </w:rPr>
        <w:t xml:space="preserve">Minutes: </w:t>
      </w:r>
    </w:p>
    <w:tbl>
      <w:tblPr>
        <w:tblW w:w="5005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251"/>
        <w:gridCol w:w="8108"/>
      </w:tblGrid>
      <w:tr w:rsidR="00FB30DE" w:rsidRPr="00D0795B" w:rsidTr="009C696D">
        <w:trPr>
          <w:trHeight w:val="288"/>
        </w:trPr>
        <w:tc>
          <w:tcPr>
            <w:tcW w:w="1251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:rsidR="00FB30DE" w:rsidRPr="00D264C6" w:rsidRDefault="00FB30DE" w:rsidP="00845A1F">
            <w:pPr>
              <w:pStyle w:val="NoSpacing"/>
              <w:jc w:val="center"/>
            </w:pPr>
            <w:bookmarkStart w:id="1" w:name="MinuteDiscussion"/>
            <w:bookmarkEnd w:id="0"/>
            <w:bookmarkEnd w:id="1"/>
            <w:r>
              <w:t>1</w:t>
            </w:r>
          </w:p>
        </w:tc>
        <w:tc>
          <w:tcPr>
            <w:tcW w:w="8108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  <w:vAlign w:val="center"/>
          </w:tcPr>
          <w:p w:rsidR="00FB30DE" w:rsidRDefault="00D70283" w:rsidP="00845A1F">
            <w:pPr>
              <w:pStyle w:val="NoSpacing"/>
            </w:pPr>
            <w:r>
              <w:t xml:space="preserve">After roll call a quorum was reached. </w:t>
            </w:r>
            <w:r w:rsidR="00FB30DE">
              <w:t xml:space="preserve">Motion to approve the minutes voted on. The minutes from </w:t>
            </w:r>
            <w:r w:rsidR="00920A52">
              <w:t>January 22, 2018</w:t>
            </w:r>
            <w:r w:rsidR="00113950">
              <w:t xml:space="preserve"> were </w:t>
            </w:r>
            <w:r w:rsidR="00FB30DE">
              <w:t xml:space="preserve">approved. </w:t>
            </w:r>
          </w:p>
          <w:p w:rsidR="00FB30DE" w:rsidRDefault="00FB30DE" w:rsidP="00845A1F">
            <w:pPr>
              <w:pStyle w:val="NoSpacing"/>
            </w:pPr>
            <w:r>
              <w:t xml:space="preserve">Votes: </w:t>
            </w:r>
          </w:p>
          <w:p w:rsidR="00FB30DE" w:rsidRDefault="00FB30DE" w:rsidP="00845A1F">
            <w:pPr>
              <w:pStyle w:val="NoSpacing"/>
            </w:pPr>
            <w:r>
              <w:t>Kevin Bridwell: Yea</w:t>
            </w:r>
          </w:p>
          <w:p w:rsidR="00FB30DE" w:rsidRDefault="00FB30DE" w:rsidP="00845A1F">
            <w:pPr>
              <w:pStyle w:val="NoSpacing"/>
            </w:pPr>
            <w:r>
              <w:t>Virginia Plaisance: Yea</w:t>
            </w:r>
          </w:p>
          <w:p w:rsidR="00FB30DE" w:rsidRPr="00D0795B" w:rsidRDefault="00FB30DE" w:rsidP="00845A1F">
            <w:pPr>
              <w:pStyle w:val="NoSpacing"/>
              <w:rPr>
                <w:rFonts w:eastAsia="Times New Roman" w:cs="Times New Roman"/>
              </w:rPr>
            </w:pPr>
            <w:r w:rsidRPr="00D264C6">
              <w:t>Michael Boutte: Yea</w:t>
            </w:r>
          </w:p>
        </w:tc>
      </w:tr>
      <w:tr w:rsidR="00FB30DE" w:rsidRPr="00D0795B" w:rsidTr="009C696D">
        <w:trPr>
          <w:trHeight w:val="288"/>
        </w:trPr>
        <w:tc>
          <w:tcPr>
            <w:tcW w:w="1251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:rsidR="00FB30DE" w:rsidRPr="00D264C6" w:rsidRDefault="00FB30DE" w:rsidP="00845A1F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8108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  <w:vAlign w:val="center"/>
          </w:tcPr>
          <w:p w:rsidR="001E1EA2" w:rsidRDefault="00113950" w:rsidP="001E1EA2">
            <w:pPr>
              <w:pStyle w:val="NoSpacing"/>
            </w:pPr>
            <w:r>
              <w:rPr>
                <w:b/>
              </w:rPr>
              <w:t>New</w:t>
            </w:r>
            <w:r w:rsidR="00FB30DE" w:rsidRPr="000D6447">
              <w:rPr>
                <w:b/>
              </w:rPr>
              <w:t xml:space="preserve"> Business:</w:t>
            </w:r>
            <w:r w:rsidR="00FB30DE">
              <w:t xml:space="preserve"> The p</w:t>
            </w:r>
            <w:r>
              <w:t xml:space="preserve">anel </w:t>
            </w:r>
            <w:r w:rsidR="004934E2">
              <w:t>reviewed resumes and discussed the interviews conducted with potential independent reviewer applicants.</w:t>
            </w:r>
            <w:r w:rsidR="00FB30DE">
              <w:t xml:space="preserve"> </w:t>
            </w:r>
            <w:r w:rsidR="001E1EA2">
              <w:t>The panel voted and selected 3 independent reviewers and 2 alternate reviewers. Sherie Thomas, Jacqueline Brettner and Cristin Fitzgerald were selected as independent reviewers.  Michael Harris and Melissa Moreau were selected as alternate independent reviewers.</w:t>
            </w:r>
          </w:p>
          <w:p w:rsidR="001E1EA2" w:rsidRDefault="001E1EA2" w:rsidP="001E1EA2">
            <w:pPr>
              <w:pStyle w:val="NoSpacing"/>
            </w:pPr>
            <w:r>
              <w:t>Votes:</w:t>
            </w:r>
          </w:p>
          <w:p w:rsidR="001E1EA2" w:rsidRDefault="001E1EA2" w:rsidP="001E1EA2">
            <w:pPr>
              <w:pStyle w:val="NoSpacing"/>
            </w:pPr>
            <w:r>
              <w:t>Kevin Bridwell: Yea</w:t>
            </w:r>
          </w:p>
          <w:p w:rsidR="001E1EA2" w:rsidRDefault="001E1EA2" w:rsidP="001E1EA2">
            <w:pPr>
              <w:pStyle w:val="NoSpacing"/>
            </w:pPr>
            <w:r w:rsidRPr="00AF7E2A">
              <w:t>Virginia Plaisance</w:t>
            </w:r>
            <w:r w:rsidRPr="00D264C6">
              <w:t>: Yea</w:t>
            </w:r>
          </w:p>
          <w:p w:rsidR="00FB30DE" w:rsidRPr="00546B61" w:rsidRDefault="001E1EA2" w:rsidP="00B8447D">
            <w:pPr>
              <w:pStyle w:val="NoSpacing"/>
            </w:pPr>
            <w:r w:rsidRPr="00D264C6">
              <w:t>Michael Boutte: Yea</w:t>
            </w:r>
          </w:p>
        </w:tc>
      </w:tr>
      <w:tr w:rsidR="00FB30DE" w:rsidRPr="00D0795B" w:rsidTr="009C696D">
        <w:trPr>
          <w:trHeight w:val="288"/>
        </w:trPr>
        <w:tc>
          <w:tcPr>
            <w:tcW w:w="1251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:rsidR="00FB30DE" w:rsidRPr="00D264C6" w:rsidRDefault="00FB30DE" w:rsidP="00845A1F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8108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  <w:vAlign w:val="center"/>
          </w:tcPr>
          <w:p w:rsidR="00FB30DE" w:rsidRPr="00D0795B" w:rsidRDefault="00D70283" w:rsidP="004934E2">
            <w:pPr>
              <w:pStyle w:val="NoSpacing"/>
              <w:rPr>
                <w:rFonts w:eastAsia="Times New Roman" w:cs="Times New Roman"/>
              </w:rPr>
            </w:pPr>
            <w:r>
              <w:rPr>
                <w:b/>
              </w:rPr>
              <w:t>New Business</w:t>
            </w:r>
            <w:r w:rsidR="00FB30DE" w:rsidRPr="000D6447">
              <w:rPr>
                <w:b/>
              </w:rPr>
              <w:t>:</w:t>
            </w:r>
            <w:r w:rsidR="00FB30DE">
              <w:t xml:space="preserve"> </w:t>
            </w:r>
            <w:r w:rsidR="001E1EA2">
              <w:t>The panel viewed the SharePoint site that will be used to log and track independent review requests</w:t>
            </w:r>
            <w:r w:rsidR="00B86F8F">
              <w:t xml:space="preserve"> and the Independent Review webpage</w:t>
            </w:r>
            <w:r w:rsidR="001E1EA2">
              <w:t>. Su</w:t>
            </w:r>
            <w:r w:rsidR="00B8447D">
              <w:t xml:space="preserve">ggestions </w:t>
            </w:r>
            <w:proofErr w:type="gramStart"/>
            <w:r w:rsidR="00B8447D">
              <w:t>were made</w:t>
            </w:r>
            <w:proofErr w:type="gramEnd"/>
            <w:r w:rsidR="00B8447D">
              <w:t xml:space="preserve"> to add columns</w:t>
            </w:r>
            <w:r w:rsidR="001E1EA2">
              <w:t xml:space="preserve"> </w:t>
            </w:r>
            <w:r w:rsidR="004934E2">
              <w:t>by</w:t>
            </w:r>
            <w:r w:rsidR="001E1EA2">
              <w:t xml:space="preserve"> ACT 349 to SharePoint.</w:t>
            </w:r>
          </w:p>
        </w:tc>
      </w:tr>
      <w:tr w:rsidR="00FB30DE" w:rsidRPr="00D0795B" w:rsidTr="009C696D">
        <w:trPr>
          <w:trHeight w:val="288"/>
        </w:trPr>
        <w:tc>
          <w:tcPr>
            <w:tcW w:w="1251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:rsidR="00FB30DE" w:rsidRPr="00D264C6" w:rsidRDefault="00FB30DE" w:rsidP="00845A1F">
            <w:pPr>
              <w:pStyle w:val="NoSpacing"/>
              <w:jc w:val="center"/>
            </w:pPr>
            <w:r>
              <w:t>4</w:t>
            </w:r>
          </w:p>
        </w:tc>
        <w:tc>
          <w:tcPr>
            <w:tcW w:w="8108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  <w:vAlign w:val="center"/>
          </w:tcPr>
          <w:p w:rsidR="00FB30DE" w:rsidRPr="00D0795B" w:rsidRDefault="00D70283" w:rsidP="00B8447D">
            <w:pPr>
              <w:pStyle w:val="NoSpacing"/>
              <w:rPr>
                <w:rFonts w:eastAsia="Times New Roman" w:cs="Times New Roman"/>
              </w:rPr>
            </w:pPr>
            <w:r>
              <w:rPr>
                <w:b/>
              </w:rPr>
              <w:t>New Business</w:t>
            </w:r>
            <w:r w:rsidR="00FB30DE" w:rsidRPr="000D6447">
              <w:rPr>
                <w:b/>
              </w:rPr>
              <w:t>:</w:t>
            </w:r>
            <w:r w:rsidR="00FB30DE">
              <w:t xml:space="preserve"> </w:t>
            </w:r>
            <w:r>
              <w:t xml:space="preserve">The panel </w:t>
            </w:r>
            <w:r w:rsidR="009C696D">
              <w:t xml:space="preserve">discussed retaining the </w:t>
            </w:r>
            <w:r w:rsidR="00B86F8F">
              <w:t>services of MLS Group of Companies through a contract with LDH to provide medical expertise when requested by the independent reviewers.</w:t>
            </w:r>
          </w:p>
        </w:tc>
      </w:tr>
      <w:tr w:rsidR="00FB30DE" w:rsidRPr="00D0795B" w:rsidTr="009C696D">
        <w:trPr>
          <w:trHeight w:val="288"/>
        </w:trPr>
        <w:tc>
          <w:tcPr>
            <w:tcW w:w="1251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:rsidR="00FB30DE" w:rsidRDefault="009C696D" w:rsidP="00845A1F">
            <w:pPr>
              <w:pStyle w:val="NoSpacing"/>
              <w:jc w:val="center"/>
            </w:pPr>
            <w:r>
              <w:t>5</w:t>
            </w:r>
          </w:p>
        </w:tc>
        <w:tc>
          <w:tcPr>
            <w:tcW w:w="8108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  <w:vAlign w:val="center"/>
          </w:tcPr>
          <w:p w:rsidR="00FB30DE" w:rsidRPr="00876558" w:rsidRDefault="00FB30DE" w:rsidP="00845A1F">
            <w:pPr>
              <w:pStyle w:val="NoSpacing"/>
            </w:pPr>
            <w:r w:rsidRPr="00876558">
              <w:t>The chair declared the meeting adjourned.</w:t>
            </w:r>
          </w:p>
        </w:tc>
      </w:tr>
    </w:tbl>
    <w:p w:rsidR="00B8447D" w:rsidRDefault="00B8447D" w:rsidP="00B8447D"/>
    <w:sectPr w:rsidR="00B8447D" w:rsidSect="00857B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0DE"/>
    <w:rsid w:val="000D3351"/>
    <w:rsid w:val="00113950"/>
    <w:rsid w:val="001E1EA2"/>
    <w:rsid w:val="002670F1"/>
    <w:rsid w:val="002E4A65"/>
    <w:rsid w:val="003306B4"/>
    <w:rsid w:val="00355F5D"/>
    <w:rsid w:val="00371DAF"/>
    <w:rsid w:val="004934E2"/>
    <w:rsid w:val="00883EE7"/>
    <w:rsid w:val="00920A52"/>
    <w:rsid w:val="009C696D"/>
    <w:rsid w:val="00B8447D"/>
    <w:rsid w:val="00B86F8F"/>
    <w:rsid w:val="00D70283"/>
    <w:rsid w:val="00FB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E84C55-6E86-4DBD-B4A3-CC3CB2093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0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30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652434FC85742D59AB162DE25733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2B8072-436C-4ACA-9298-12F1A0E9D740}"/>
      </w:docPartPr>
      <w:docPartBody>
        <w:p w:rsidR="00217B40" w:rsidRDefault="00CC2F29" w:rsidP="00CC2F29">
          <w:pPr>
            <w:pStyle w:val="F652434FC85742D59AB162DE257338B1"/>
          </w:pPr>
          <w:r w:rsidRPr="007C1BF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F29"/>
    <w:rsid w:val="000A7288"/>
    <w:rsid w:val="00217B40"/>
    <w:rsid w:val="009B3F2C"/>
    <w:rsid w:val="009C614D"/>
    <w:rsid w:val="00CC2F29"/>
    <w:rsid w:val="00E67779"/>
    <w:rsid w:val="00FE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2F29"/>
    <w:rPr>
      <w:color w:val="808080"/>
    </w:rPr>
  </w:style>
  <w:style w:type="paragraph" w:customStyle="1" w:styleId="F652434FC85742D59AB162DE257338B1">
    <w:name w:val="F652434FC85742D59AB162DE257338B1"/>
    <w:rsid w:val="00CC2F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20B6F-301B-45A3-9DFC-A2DA08BEF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Deidra Hickman</dc:creator>
  <cp:keywords/>
  <dc:description/>
  <cp:lastModifiedBy>Deidra Hickman</cp:lastModifiedBy>
  <cp:revision>2</cp:revision>
  <dcterms:created xsi:type="dcterms:W3CDTF">2018-10-10T15:41:00Z</dcterms:created>
  <dcterms:modified xsi:type="dcterms:W3CDTF">2018-10-10T15:41:00Z</dcterms:modified>
</cp:coreProperties>
</file>