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7F6BB" w14:textId="77777777" w:rsidR="00DE0B86" w:rsidRPr="00172063" w:rsidRDefault="00DE0B86" w:rsidP="00D04E5B">
      <w:pPr>
        <w:pStyle w:val="H3"/>
        <w:spacing w:after="0"/>
        <w:outlineLvl w:val="0"/>
      </w:pPr>
      <w:bookmarkStart w:id="0" w:name="_Toc483414325"/>
      <w:r w:rsidRPr="00172063">
        <w:t>1.</w:t>
      </w:r>
      <w:r>
        <w:tab/>
      </w:r>
      <w:r w:rsidRPr="00172063">
        <w:t xml:space="preserve">Title page for the state’s </w:t>
      </w:r>
      <w:r w:rsidR="00E96115">
        <w:t>s</w:t>
      </w:r>
      <w:r w:rsidR="009672F4">
        <w:t xml:space="preserve">ubstance </w:t>
      </w:r>
      <w:r w:rsidR="00E96115">
        <w:t>u</w:t>
      </w:r>
      <w:r w:rsidR="009672F4">
        <w:t xml:space="preserve">se </w:t>
      </w:r>
      <w:r w:rsidR="00E96115">
        <w:t>d</w:t>
      </w:r>
      <w:r w:rsidR="009672F4">
        <w:t>isorder (</w:t>
      </w:r>
      <w:r w:rsidRPr="00172063">
        <w:t>SUD</w:t>
      </w:r>
      <w:r w:rsidR="009672F4">
        <w:t>)</w:t>
      </w:r>
      <w:r w:rsidRPr="00172063">
        <w:t xml:space="preserve"> demonstration or </w:t>
      </w:r>
      <w:r w:rsidR="009672F4">
        <w:t xml:space="preserve">the </w:t>
      </w:r>
      <w:r w:rsidRPr="00172063">
        <w:t xml:space="preserve">SUD component of </w:t>
      </w:r>
      <w:r w:rsidR="009672F4">
        <w:t xml:space="preserve">the </w:t>
      </w:r>
      <w:r w:rsidRPr="00172063">
        <w:t>broader demonstration</w:t>
      </w:r>
      <w:bookmarkEnd w:id="0"/>
    </w:p>
    <w:tbl>
      <w:tblPr>
        <w:tblStyle w:val="TableGrid"/>
        <w:tblW w:w="12960" w:type="dxa"/>
        <w:tblInd w:w="-5" w:type="dxa"/>
        <w:tblLook w:val="04A0" w:firstRow="1" w:lastRow="0" w:firstColumn="1" w:lastColumn="0" w:noHBand="0" w:noVBand="1"/>
        <w:tblCaption w:val="Title Page for the State's SUD Demonstration or SUD Components of Broader Demonstration"/>
      </w:tblPr>
      <w:tblGrid>
        <w:gridCol w:w="3251"/>
        <w:gridCol w:w="251"/>
        <w:gridCol w:w="9458"/>
      </w:tblGrid>
      <w:tr w:rsidR="005F57A0" w:rsidRPr="00B5106A" w14:paraId="1434D87D" w14:textId="77777777" w:rsidTr="00464BF8">
        <w:trPr>
          <w:cantSplit/>
          <w:trHeight w:val="542"/>
          <w:tblHeader/>
        </w:trPr>
        <w:tc>
          <w:tcPr>
            <w:tcW w:w="3251" w:type="dxa"/>
            <w:shd w:val="clear" w:color="auto" w:fill="D9D9D9" w:themeFill="background1" w:themeFillShade="D9"/>
          </w:tcPr>
          <w:p w14:paraId="4B216436" w14:textId="77777777" w:rsidR="005F57A0" w:rsidRPr="000821DB" w:rsidRDefault="005F57A0" w:rsidP="005F57A0">
            <w:pPr>
              <w:pStyle w:val="TableTextLeft"/>
              <w:rPr>
                <w:rFonts w:asciiTheme="minorHAnsi" w:hAnsiTheme="minorHAnsi" w:cstheme="minorHAnsi"/>
                <w:b/>
                <w:bCs/>
              </w:rPr>
            </w:pPr>
            <w:bookmarkStart w:id="1" w:name="_Toc482044768"/>
            <w:bookmarkStart w:id="2" w:name="_Toc482045215"/>
            <w:bookmarkStart w:id="3" w:name="_Toc482046327"/>
            <w:bookmarkStart w:id="4" w:name="_Toc482373901"/>
            <w:bookmarkStart w:id="5" w:name="_Toc482631905"/>
            <w:bookmarkStart w:id="6" w:name="_Toc482650299"/>
            <w:bookmarkStart w:id="7" w:name="_Toc483414326"/>
            <w:bookmarkEnd w:id="1"/>
            <w:bookmarkEnd w:id="2"/>
            <w:bookmarkEnd w:id="3"/>
            <w:bookmarkEnd w:id="4"/>
            <w:bookmarkEnd w:id="5"/>
            <w:bookmarkEnd w:id="6"/>
            <w:bookmarkEnd w:id="7"/>
            <w:r w:rsidRPr="00C75941">
              <w:rPr>
                <w:rFonts w:asciiTheme="minorHAnsi" w:hAnsiTheme="minorHAnsi" w:cstheme="minorHAnsi"/>
                <w:b/>
                <w:bCs/>
              </w:rPr>
              <w:t>State</w:t>
            </w:r>
          </w:p>
        </w:tc>
        <w:tc>
          <w:tcPr>
            <w:tcW w:w="251" w:type="dxa"/>
            <w:shd w:val="clear" w:color="auto" w:fill="000000" w:themeFill="text1"/>
          </w:tcPr>
          <w:p w14:paraId="5B0E4442" w14:textId="77777777" w:rsidR="005F57A0" w:rsidRPr="00464BF8" w:rsidRDefault="005F57A0" w:rsidP="005F57A0">
            <w:pPr>
              <w:pStyle w:val="TableTextLeft"/>
              <w:rPr>
                <w:rFonts w:asciiTheme="minorHAnsi" w:hAnsiTheme="minorHAnsi" w:cstheme="minorHAnsi"/>
              </w:rPr>
            </w:pPr>
            <w:r w:rsidRPr="00C75941">
              <w:rPr>
                <w:rFonts w:asciiTheme="minorHAnsi" w:hAnsiTheme="minorHAnsi" w:cstheme="minorHAnsi"/>
              </w:rPr>
              <w:t xml:space="preserve"> </w:t>
            </w:r>
          </w:p>
        </w:tc>
        <w:tc>
          <w:tcPr>
            <w:tcW w:w="9458" w:type="dxa"/>
          </w:tcPr>
          <w:p w14:paraId="4D5D6D3F" w14:textId="77777777" w:rsidR="005F57A0" w:rsidRPr="001942A3" w:rsidRDefault="00B57616" w:rsidP="005F57A0">
            <w:pPr>
              <w:pStyle w:val="TableTextLeft"/>
              <w:rPr>
                <w:rFonts w:asciiTheme="minorHAnsi" w:hAnsiTheme="minorHAnsi" w:cstheme="minorHAnsi"/>
                <w:i/>
              </w:rPr>
            </w:pPr>
            <w:r w:rsidRPr="001942A3">
              <w:rPr>
                <w:rFonts w:asciiTheme="minorHAnsi" w:hAnsiTheme="minorHAnsi" w:cstheme="minorHAnsi"/>
                <w:i/>
              </w:rPr>
              <w:t>Louisiana</w:t>
            </w:r>
          </w:p>
        </w:tc>
      </w:tr>
      <w:tr w:rsidR="00B57616" w:rsidRPr="00B5106A" w14:paraId="4923DE33" w14:textId="77777777" w:rsidTr="00464BF8">
        <w:trPr>
          <w:cantSplit/>
          <w:trHeight w:val="504"/>
          <w:tblHeader/>
        </w:trPr>
        <w:tc>
          <w:tcPr>
            <w:tcW w:w="3251" w:type="dxa"/>
            <w:shd w:val="clear" w:color="auto" w:fill="D9D9D9" w:themeFill="background1" w:themeFillShade="D9"/>
          </w:tcPr>
          <w:p w14:paraId="4A61FBA4" w14:textId="77777777" w:rsidR="00B57616" w:rsidRPr="000821DB" w:rsidRDefault="00B57616" w:rsidP="00B57616">
            <w:pPr>
              <w:pStyle w:val="TableTextLeft"/>
              <w:rPr>
                <w:rFonts w:asciiTheme="minorHAnsi" w:hAnsiTheme="minorHAnsi" w:cstheme="minorHAnsi"/>
                <w:b/>
                <w:bCs/>
              </w:rPr>
            </w:pPr>
            <w:r w:rsidRPr="00C75941">
              <w:rPr>
                <w:rFonts w:asciiTheme="minorHAnsi" w:hAnsiTheme="minorHAnsi" w:cstheme="minorHAnsi"/>
                <w:b/>
                <w:bCs/>
              </w:rPr>
              <w:t xml:space="preserve">Demonstration name </w:t>
            </w:r>
          </w:p>
        </w:tc>
        <w:tc>
          <w:tcPr>
            <w:tcW w:w="251" w:type="dxa"/>
            <w:shd w:val="clear" w:color="auto" w:fill="000000" w:themeFill="text1"/>
          </w:tcPr>
          <w:p w14:paraId="2BFFA051" w14:textId="77777777" w:rsidR="00B57616" w:rsidRPr="00464BF8" w:rsidRDefault="00B57616" w:rsidP="00B57616">
            <w:pPr>
              <w:pStyle w:val="TableTextLeft"/>
              <w:rPr>
                <w:rFonts w:asciiTheme="minorHAnsi" w:hAnsiTheme="minorHAnsi" w:cstheme="minorHAnsi"/>
              </w:rPr>
            </w:pPr>
            <w:r w:rsidRPr="00C75941">
              <w:rPr>
                <w:rFonts w:asciiTheme="minorHAnsi" w:hAnsiTheme="minorHAnsi" w:cstheme="minorHAnsi"/>
              </w:rPr>
              <w:t xml:space="preserve"> </w:t>
            </w:r>
          </w:p>
        </w:tc>
        <w:tc>
          <w:tcPr>
            <w:tcW w:w="9458" w:type="dxa"/>
          </w:tcPr>
          <w:p w14:paraId="08B5FFD2" w14:textId="77777777" w:rsidR="00B57616" w:rsidRPr="001942A3" w:rsidRDefault="00B57616" w:rsidP="00B57616">
            <w:pPr>
              <w:pStyle w:val="TableTextLeft"/>
              <w:rPr>
                <w:rFonts w:asciiTheme="minorHAnsi" w:hAnsiTheme="minorHAnsi" w:cstheme="minorHAnsi"/>
                <w:i/>
              </w:rPr>
            </w:pPr>
            <w:r w:rsidRPr="001942A3">
              <w:rPr>
                <w:rFonts w:ascii="Times New Roman" w:hAnsi="Times New Roman"/>
                <w:i/>
                <w:iCs/>
              </w:rPr>
              <w:t>Healthy Louisiana Substance Use Disorder 1115 Demonstration</w:t>
            </w:r>
          </w:p>
        </w:tc>
      </w:tr>
      <w:tr w:rsidR="00B57616" w:rsidRPr="00B5106A" w14:paraId="2EAE5462" w14:textId="77777777" w:rsidTr="00464BF8">
        <w:trPr>
          <w:cantSplit/>
          <w:trHeight w:val="504"/>
          <w:tblHeader/>
        </w:trPr>
        <w:tc>
          <w:tcPr>
            <w:tcW w:w="3251" w:type="dxa"/>
            <w:shd w:val="clear" w:color="auto" w:fill="D9D9D9" w:themeFill="background1" w:themeFillShade="D9"/>
          </w:tcPr>
          <w:p w14:paraId="00102C3D" w14:textId="77777777" w:rsidR="00B57616" w:rsidRPr="000821DB" w:rsidRDefault="00B57616" w:rsidP="00B57616">
            <w:pPr>
              <w:pStyle w:val="TableTextLeft"/>
              <w:rPr>
                <w:rFonts w:asciiTheme="minorHAnsi" w:hAnsiTheme="minorHAnsi" w:cstheme="minorHAnsi"/>
                <w:b/>
                <w:bCs/>
              </w:rPr>
            </w:pPr>
            <w:r w:rsidRPr="00334508">
              <w:rPr>
                <w:rFonts w:ascii="Times New Roman" w:hAnsi="Times New Roman"/>
                <w:b/>
                <w:bCs/>
                <w:color w:val="000000"/>
              </w:rPr>
              <w:t>Approval period for section 1115 demonstration</w:t>
            </w:r>
          </w:p>
        </w:tc>
        <w:tc>
          <w:tcPr>
            <w:tcW w:w="251" w:type="dxa"/>
            <w:shd w:val="clear" w:color="auto" w:fill="000000" w:themeFill="text1"/>
          </w:tcPr>
          <w:p w14:paraId="077DCE3F" w14:textId="77777777" w:rsidR="00B57616" w:rsidRPr="00464BF8" w:rsidRDefault="00B57616" w:rsidP="00B57616">
            <w:pPr>
              <w:pStyle w:val="TableTextLeft"/>
              <w:rPr>
                <w:rFonts w:asciiTheme="minorHAnsi" w:hAnsiTheme="minorHAnsi" w:cstheme="minorHAnsi"/>
              </w:rPr>
            </w:pPr>
          </w:p>
        </w:tc>
        <w:tc>
          <w:tcPr>
            <w:tcW w:w="9458" w:type="dxa"/>
          </w:tcPr>
          <w:p w14:paraId="005DEF34" w14:textId="77777777" w:rsidR="00B57616" w:rsidRPr="001942A3" w:rsidRDefault="00D348D1" w:rsidP="00B57616">
            <w:pPr>
              <w:pStyle w:val="TableTextLeft"/>
              <w:rPr>
                <w:rFonts w:asciiTheme="minorHAnsi" w:hAnsiTheme="minorHAnsi" w:cstheme="minorHAnsi"/>
                <w:i/>
              </w:rPr>
            </w:pPr>
            <w:r w:rsidRPr="001942A3">
              <w:rPr>
                <w:rFonts w:ascii="Times New Roman" w:hAnsi="Times New Roman"/>
                <w:i/>
                <w:iCs/>
              </w:rPr>
              <w:t>February 1, 2018 – December 31, 2022</w:t>
            </w:r>
          </w:p>
        </w:tc>
      </w:tr>
      <w:tr w:rsidR="00B57616" w:rsidRPr="00B5106A" w14:paraId="6E2C1B72" w14:textId="77777777" w:rsidTr="00464BF8">
        <w:trPr>
          <w:cantSplit/>
          <w:trHeight w:val="504"/>
          <w:tblHeader/>
        </w:trPr>
        <w:tc>
          <w:tcPr>
            <w:tcW w:w="3251" w:type="dxa"/>
            <w:shd w:val="clear" w:color="auto" w:fill="D9D9D9" w:themeFill="background1" w:themeFillShade="D9"/>
          </w:tcPr>
          <w:p w14:paraId="70E8079D" w14:textId="77777777" w:rsidR="00B57616" w:rsidRPr="00B72988" w:rsidRDefault="00B57616" w:rsidP="00B57616">
            <w:pPr>
              <w:pStyle w:val="TableTextLeft"/>
              <w:rPr>
                <w:rFonts w:asciiTheme="minorHAnsi" w:hAnsiTheme="minorHAnsi" w:cstheme="minorHAnsi"/>
                <w:b/>
                <w:bCs/>
              </w:rPr>
            </w:pPr>
            <w:bookmarkStart w:id="8" w:name="_Hlk41054975"/>
            <w:r w:rsidRPr="00212610">
              <w:rPr>
                <w:rFonts w:ascii="Times New Roman" w:hAnsi="Times New Roman"/>
                <w:b/>
                <w:bCs/>
                <w:color w:val="000000"/>
              </w:rPr>
              <w:t>SUD demonstration</w:t>
            </w:r>
            <w:bookmarkEnd w:id="8"/>
            <w:r w:rsidRPr="00212610">
              <w:rPr>
                <w:rFonts w:ascii="Times New Roman" w:hAnsi="Times New Roman"/>
                <w:b/>
                <w:bCs/>
                <w:color w:val="000000"/>
              </w:rPr>
              <w:t xml:space="preserve"> start date</w:t>
            </w:r>
          </w:p>
        </w:tc>
        <w:tc>
          <w:tcPr>
            <w:tcW w:w="251" w:type="dxa"/>
            <w:shd w:val="clear" w:color="auto" w:fill="000000" w:themeFill="text1"/>
          </w:tcPr>
          <w:p w14:paraId="10790A26" w14:textId="77777777" w:rsidR="00B57616" w:rsidRPr="00B72988" w:rsidRDefault="00B57616" w:rsidP="00B57616">
            <w:pPr>
              <w:pStyle w:val="TableTextLeft"/>
              <w:rPr>
                <w:rFonts w:asciiTheme="minorHAnsi" w:hAnsiTheme="minorHAnsi" w:cstheme="minorHAnsi"/>
              </w:rPr>
            </w:pPr>
          </w:p>
        </w:tc>
        <w:tc>
          <w:tcPr>
            <w:tcW w:w="9458" w:type="dxa"/>
          </w:tcPr>
          <w:p w14:paraId="0E870DE1" w14:textId="77777777" w:rsidR="00B57616" w:rsidRPr="001942A3" w:rsidRDefault="00D348D1" w:rsidP="00B57616">
            <w:pPr>
              <w:pStyle w:val="TableTextLeft"/>
              <w:rPr>
                <w:rFonts w:asciiTheme="minorHAnsi" w:hAnsiTheme="minorHAnsi" w:cstheme="minorHAnsi"/>
                <w:i/>
              </w:rPr>
            </w:pPr>
            <w:r w:rsidRPr="001942A3">
              <w:rPr>
                <w:rFonts w:ascii="Times New Roman" w:hAnsi="Times New Roman"/>
                <w:i/>
                <w:iCs/>
              </w:rPr>
              <w:t>February 1, 2018</w:t>
            </w:r>
            <w:r w:rsidR="00B57616" w:rsidRPr="001942A3">
              <w:rPr>
                <w:rFonts w:ascii="Times New Roman" w:hAnsi="Times New Roman"/>
                <w:i/>
                <w:iCs/>
              </w:rPr>
              <w:t> </w:t>
            </w:r>
          </w:p>
        </w:tc>
      </w:tr>
      <w:tr w:rsidR="00B57616" w:rsidRPr="00B5106A" w14:paraId="0613FC52" w14:textId="77777777" w:rsidTr="00464BF8">
        <w:trPr>
          <w:cantSplit/>
          <w:trHeight w:val="504"/>
          <w:tblHeader/>
        </w:trPr>
        <w:tc>
          <w:tcPr>
            <w:tcW w:w="3251" w:type="dxa"/>
            <w:shd w:val="clear" w:color="auto" w:fill="D9D9D9" w:themeFill="background1" w:themeFillShade="D9"/>
          </w:tcPr>
          <w:p w14:paraId="2D25D2C9" w14:textId="77777777" w:rsidR="00B57616" w:rsidRPr="00B72988" w:rsidRDefault="00B57616" w:rsidP="00B57616">
            <w:pPr>
              <w:pStyle w:val="TableTextLeft"/>
              <w:rPr>
                <w:rFonts w:asciiTheme="minorHAnsi" w:hAnsiTheme="minorHAnsi" w:cstheme="minorHAnsi"/>
                <w:b/>
                <w:bCs/>
              </w:rPr>
            </w:pPr>
            <w:bookmarkStart w:id="9" w:name="_Hlk37325772"/>
            <w:r w:rsidRPr="00212610">
              <w:rPr>
                <w:rFonts w:ascii="Times New Roman" w:hAnsi="Times New Roman"/>
                <w:b/>
                <w:bCs/>
                <w:color w:val="000000"/>
              </w:rPr>
              <w:t>Implementation date of SUD demonstration, if different from SUD demonstration start date</w:t>
            </w:r>
            <w:bookmarkEnd w:id="9"/>
          </w:p>
        </w:tc>
        <w:tc>
          <w:tcPr>
            <w:tcW w:w="251" w:type="dxa"/>
            <w:shd w:val="clear" w:color="auto" w:fill="000000" w:themeFill="text1"/>
          </w:tcPr>
          <w:p w14:paraId="1F1431ED" w14:textId="77777777" w:rsidR="00B57616" w:rsidRPr="00E96115" w:rsidRDefault="00B57616" w:rsidP="00B57616">
            <w:pPr>
              <w:pStyle w:val="TableTextLeft"/>
              <w:rPr>
                <w:rFonts w:asciiTheme="minorHAnsi" w:hAnsiTheme="minorHAnsi" w:cstheme="minorHAnsi"/>
              </w:rPr>
            </w:pPr>
          </w:p>
        </w:tc>
        <w:tc>
          <w:tcPr>
            <w:tcW w:w="9458" w:type="dxa"/>
          </w:tcPr>
          <w:p w14:paraId="64CC20D2" w14:textId="77777777" w:rsidR="00B57616" w:rsidRPr="001942A3" w:rsidRDefault="00D348D1" w:rsidP="00B57616">
            <w:pPr>
              <w:pStyle w:val="TableTextLeft"/>
              <w:rPr>
                <w:rFonts w:asciiTheme="minorHAnsi" w:hAnsiTheme="minorHAnsi" w:cstheme="minorHAnsi"/>
                <w:i/>
              </w:rPr>
            </w:pPr>
            <w:r w:rsidRPr="001942A3">
              <w:rPr>
                <w:rFonts w:ascii="Times New Roman" w:hAnsi="Times New Roman"/>
                <w:i/>
                <w:iCs/>
              </w:rPr>
              <w:t>N/A</w:t>
            </w:r>
            <w:r w:rsidR="00B57616" w:rsidRPr="001942A3">
              <w:rPr>
                <w:rFonts w:ascii="Times New Roman" w:hAnsi="Times New Roman"/>
                <w:i/>
                <w:iCs/>
              </w:rPr>
              <w:t xml:space="preserve"> </w:t>
            </w:r>
          </w:p>
        </w:tc>
      </w:tr>
      <w:tr w:rsidR="00B57616" w:rsidRPr="00B5106A" w14:paraId="638EC771" w14:textId="77777777" w:rsidTr="00464BF8">
        <w:trPr>
          <w:cantSplit/>
          <w:trHeight w:val="504"/>
          <w:tblHeader/>
        </w:trPr>
        <w:tc>
          <w:tcPr>
            <w:tcW w:w="3251" w:type="dxa"/>
            <w:shd w:val="clear" w:color="auto" w:fill="D9D9D9" w:themeFill="background1" w:themeFillShade="D9"/>
          </w:tcPr>
          <w:p w14:paraId="47C39C12" w14:textId="77777777" w:rsidR="00B57616" w:rsidRPr="000821DB" w:rsidRDefault="00B57616" w:rsidP="00B57616">
            <w:pPr>
              <w:pStyle w:val="TableTextLeft"/>
              <w:rPr>
                <w:rFonts w:asciiTheme="minorHAnsi" w:hAnsiTheme="minorHAnsi" w:cstheme="minorHAnsi"/>
                <w:b/>
                <w:bCs/>
              </w:rPr>
            </w:pPr>
            <w:r w:rsidRPr="00334508">
              <w:rPr>
                <w:rFonts w:ascii="Times New Roman" w:hAnsi="Times New Roman"/>
                <w:b/>
                <w:bCs/>
                <w:color w:val="000000"/>
              </w:rPr>
              <w:t>SUD (or if broader demonstration, then SUD -related) demonstration goals and objectives</w:t>
            </w:r>
          </w:p>
        </w:tc>
        <w:tc>
          <w:tcPr>
            <w:tcW w:w="251" w:type="dxa"/>
            <w:shd w:val="clear" w:color="auto" w:fill="000000" w:themeFill="text1"/>
          </w:tcPr>
          <w:p w14:paraId="364746EA" w14:textId="77777777" w:rsidR="00B57616" w:rsidRPr="00464BF8" w:rsidRDefault="00B57616" w:rsidP="00B57616">
            <w:pPr>
              <w:pStyle w:val="TableTextLeft"/>
              <w:rPr>
                <w:rFonts w:asciiTheme="minorHAnsi" w:hAnsiTheme="minorHAnsi" w:cstheme="minorHAnsi"/>
              </w:rPr>
            </w:pPr>
          </w:p>
        </w:tc>
        <w:tc>
          <w:tcPr>
            <w:tcW w:w="9458" w:type="dxa"/>
          </w:tcPr>
          <w:p w14:paraId="677859D2" w14:textId="77777777" w:rsidR="00B57616" w:rsidRPr="001942A3" w:rsidRDefault="00D348D1" w:rsidP="00B57616">
            <w:pPr>
              <w:pStyle w:val="TableTextLeft"/>
              <w:rPr>
                <w:rFonts w:ascii="Times New Roman" w:hAnsi="Times New Roman"/>
                <w:i/>
                <w:iCs/>
              </w:rPr>
            </w:pPr>
            <w:r w:rsidRPr="001942A3">
              <w:rPr>
                <w:rFonts w:ascii="Times New Roman" w:hAnsi="Times New Roman"/>
                <w:i/>
                <w:iCs/>
              </w:rPr>
              <w:t xml:space="preserve">The goal of this demonstration is for Louisiana to maintain critical access to opioid use disorder (OUD) and other substance use disorder (SUD) services and continue delivery system improvements for these services to provide more coordinated and comprehensive OUD/SUD treatment for Medicaid beneficiaries. This demonstration will provide the state with authority to provide </w:t>
            </w:r>
            <w:proofErr w:type="gramStart"/>
            <w:r w:rsidRPr="001942A3">
              <w:rPr>
                <w:rFonts w:ascii="Times New Roman" w:hAnsi="Times New Roman"/>
                <w:i/>
                <w:iCs/>
              </w:rPr>
              <w:t>high-quality</w:t>
            </w:r>
            <w:proofErr w:type="gramEnd"/>
            <w:r w:rsidRPr="001942A3">
              <w:rPr>
                <w:rFonts w:ascii="Times New Roman" w:hAnsi="Times New Roman"/>
                <w:i/>
                <w:iCs/>
              </w:rPr>
              <w:t>, clinically appropriate SUD treatment services for short-term residents in residential and inpatient treatment settings that qualify as an Institution for Mental Disease (IMD). It will also build on the state’s existing efforts to improve models of care focused on supporting individuals in the community and home, outside of institutions and strengthen a continuum of SUD services based on the American Society of Addiction Medicine (ASAM) criteria or other compara</w:t>
            </w:r>
            <w:r w:rsidR="00CF7D26" w:rsidRPr="001942A3">
              <w:rPr>
                <w:rFonts w:ascii="Times New Roman" w:hAnsi="Times New Roman"/>
                <w:i/>
                <w:iCs/>
              </w:rPr>
              <w:t>ble nationally recognized assessments and placement tools that reflect evidence-based clinical treatment guidelines.</w:t>
            </w:r>
          </w:p>
          <w:p w14:paraId="0F1AACD3" w14:textId="77777777" w:rsidR="00CF7D26" w:rsidRPr="001942A3" w:rsidRDefault="00CF7D26" w:rsidP="00B57616">
            <w:pPr>
              <w:pStyle w:val="TableTextLeft"/>
              <w:rPr>
                <w:rFonts w:ascii="Times New Roman" w:hAnsi="Times New Roman"/>
                <w:i/>
                <w:iCs/>
              </w:rPr>
            </w:pPr>
          </w:p>
          <w:p w14:paraId="0D64E4D6" w14:textId="77777777" w:rsidR="00CF7D26" w:rsidRPr="001942A3" w:rsidRDefault="00CF7D26" w:rsidP="00B57616">
            <w:pPr>
              <w:pStyle w:val="TableTextLeft"/>
              <w:rPr>
                <w:rFonts w:ascii="Times New Roman" w:hAnsi="Times New Roman"/>
                <w:i/>
                <w:iCs/>
              </w:rPr>
            </w:pPr>
            <w:r w:rsidRPr="001942A3">
              <w:rPr>
                <w:rFonts w:ascii="Times New Roman" w:hAnsi="Times New Roman"/>
                <w:i/>
                <w:iCs/>
              </w:rPr>
              <w:t>During the demonstration period, Louisiana seeks to achieve the following:</w:t>
            </w:r>
          </w:p>
          <w:p w14:paraId="72AB9279" w14:textId="77777777" w:rsidR="00CF7D26" w:rsidRPr="001942A3" w:rsidRDefault="00CF7D26" w:rsidP="00CF7D26">
            <w:pPr>
              <w:pStyle w:val="TableTextLeft"/>
              <w:numPr>
                <w:ilvl w:val="0"/>
                <w:numId w:val="48"/>
              </w:numPr>
              <w:rPr>
                <w:rFonts w:asciiTheme="minorHAnsi" w:hAnsiTheme="minorHAnsi" w:cstheme="minorHAnsi"/>
                <w:i/>
              </w:rPr>
            </w:pPr>
            <w:r w:rsidRPr="001942A3">
              <w:rPr>
                <w:rFonts w:asciiTheme="minorHAnsi" w:hAnsiTheme="minorHAnsi" w:cstheme="minorHAnsi"/>
                <w:i/>
              </w:rPr>
              <w:t>Increase enrollee access to and utilization of appropriate OUD/SUD treatment services based on the ASAM Criteria;</w:t>
            </w:r>
          </w:p>
          <w:p w14:paraId="3B1F16A8" w14:textId="77777777" w:rsidR="00CF7D26" w:rsidRPr="001942A3" w:rsidRDefault="00CF7D26" w:rsidP="00CF7D26">
            <w:pPr>
              <w:pStyle w:val="TableTextLeft"/>
              <w:numPr>
                <w:ilvl w:val="0"/>
                <w:numId w:val="48"/>
              </w:numPr>
              <w:rPr>
                <w:rFonts w:asciiTheme="minorHAnsi" w:hAnsiTheme="minorHAnsi" w:cstheme="minorHAnsi"/>
                <w:i/>
              </w:rPr>
            </w:pPr>
            <w:r w:rsidRPr="001942A3">
              <w:rPr>
                <w:rFonts w:asciiTheme="minorHAnsi" w:hAnsiTheme="minorHAnsi" w:cstheme="minorHAnsi"/>
                <w:i/>
              </w:rPr>
              <w:t>Decreased use of medically inappropriate and avoidable high-cost emergency department and hospital services by enrollees with OUD/SUD;</w:t>
            </w:r>
          </w:p>
          <w:p w14:paraId="32B4F7AF" w14:textId="77777777" w:rsidR="00CF7D26" w:rsidRPr="001942A3" w:rsidRDefault="00CF7D26" w:rsidP="00CF7D26">
            <w:pPr>
              <w:pStyle w:val="TableTextLeft"/>
              <w:numPr>
                <w:ilvl w:val="0"/>
                <w:numId w:val="48"/>
              </w:numPr>
              <w:rPr>
                <w:rFonts w:asciiTheme="minorHAnsi" w:hAnsiTheme="minorHAnsi" w:cstheme="minorHAnsi"/>
                <w:i/>
              </w:rPr>
            </w:pPr>
            <w:r w:rsidRPr="001942A3">
              <w:rPr>
                <w:rFonts w:asciiTheme="minorHAnsi" w:hAnsiTheme="minorHAnsi" w:cstheme="minorHAnsi"/>
                <w:i/>
              </w:rPr>
              <w:t>Increased initiation of follow-up after discharge from emergency department for alcohol or other drug dependence; Reduce readmission rates for OUD/SUD treatment.</w:t>
            </w:r>
          </w:p>
        </w:tc>
      </w:tr>
      <w:tr w:rsidR="00B57616" w:rsidRPr="00B5106A" w14:paraId="66C93BFE" w14:textId="77777777" w:rsidTr="00464BF8">
        <w:trPr>
          <w:cantSplit/>
          <w:trHeight w:val="504"/>
          <w:tblHeader/>
        </w:trPr>
        <w:tc>
          <w:tcPr>
            <w:tcW w:w="3251" w:type="dxa"/>
            <w:shd w:val="clear" w:color="auto" w:fill="D9D9D9" w:themeFill="background1" w:themeFillShade="D9"/>
          </w:tcPr>
          <w:p w14:paraId="77863634" w14:textId="77777777" w:rsidR="00B57616" w:rsidRPr="000821DB" w:rsidRDefault="00B57616" w:rsidP="00B57616">
            <w:pPr>
              <w:pStyle w:val="TableTextLeft"/>
              <w:rPr>
                <w:rFonts w:asciiTheme="minorHAnsi" w:hAnsiTheme="minorHAnsi" w:cstheme="minorHAnsi"/>
                <w:b/>
                <w:bCs/>
              </w:rPr>
            </w:pPr>
            <w:r w:rsidRPr="000821DB">
              <w:rPr>
                <w:rFonts w:asciiTheme="minorHAnsi" w:hAnsiTheme="minorHAnsi" w:cstheme="minorHAnsi"/>
                <w:b/>
                <w:bCs/>
              </w:rPr>
              <w:t>SUD demonstration year and quarter</w:t>
            </w:r>
          </w:p>
        </w:tc>
        <w:tc>
          <w:tcPr>
            <w:tcW w:w="251" w:type="dxa"/>
            <w:shd w:val="clear" w:color="auto" w:fill="000000" w:themeFill="text1"/>
          </w:tcPr>
          <w:p w14:paraId="72DA6844" w14:textId="77777777" w:rsidR="00B57616" w:rsidRPr="00464BF8" w:rsidRDefault="00B57616" w:rsidP="00B57616">
            <w:pPr>
              <w:pStyle w:val="TableTextLeft"/>
              <w:rPr>
                <w:rFonts w:asciiTheme="minorHAnsi" w:hAnsiTheme="minorHAnsi" w:cstheme="minorHAnsi"/>
              </w:rPr>
            </w:pPr>
          </w:p>
        </w:tc>
        <w:tc>
          <w:tcPr>
            <w:tcW w:w="9458" w:type="dxa"/>
          </w:tcPr>
          <w:p w14:paraId="3FDEF0D0" w14:textId="622EFE5D" w:rsidR="00B57616" w:rsidRPr="001942A3" w:rsidRDefault="00CF7D26" w:rsidP="00CA0769">
            <w:pPr>
              <w:pStyle w:val="TableTextLeft"/>
              <w:rPr>
                <w:rFonts w:asciiTheme="minorHAnsi" w:hAnsiTheme="minorHAnsi" w:cstheme="minorHAnsi"/>
                <w:i/>
              </w:rPr>
            </w:pPr>
            <w:r w:rsidRPr="001942A3">
              <w:rPr>
                <w:rFonts w:asciiTheme="minorHAnsi" w:hAnsiTheme="minorHAnsi" w:cstheme="minorHAnsi"/>
                <w:bCs/>
                <w:i/>
                <w:iCs/>
              </w:rPr>
              <w:t>1115 SUD DY</w:t>
            </w:r>
            <w:r w:rsidR="00CA0769">
              <w:rPr>
                <w:rFonts w:asciiTheme="minorHAnsi" w:hAnsiTheme="minorHAnsi" w:cstheme="minorHAnsi"/>
                <w:bCs/>
                <w:i/>
                <w:iCs/>
              </w:rPr>
              <w:t>4 Q</w:t>
            </w:r>
            <w:r w:rsidR="00970B3E">
              <w:rPr>
                <w:rFonts w:asciiTheme="minorHAnsi" w:hAnsiTheme="minorHAnsi" w:cstheme="minorHAnsi"/>
                <w:bCs/>
                <w:i/>
                <w:iCs/>
              </w:rPr>
              <w:t>3</w:t>
            </w:r>
          </w:p>
        </w:tc>
      </w:tr>
      <w:tr w:rsidR="00B57616" w:rsidRPr="00B5106A" w14:paraId="4EBF6142" w14:textId="77777777" w:rsidTr="00464BF8">
        <w:trPr>
          <w:cantSplit/>
          <w:trHeight w:val="504"/>
          <w:tblHeader/>
        </w:trPr>
        <w:tc>
          <w:tcPr>
            <w:tcW w:w="3251" w:type="dxa"/>
            <w:shd w:val="clear" w:color="auto" w:fill="D9D9D9" w:themeFill="background1" w:themeFillShade="D9"/>
          </w:tcPr>
          <w:p w14:paraId="510F76B5" w14:textId="77777777" w:rsidR="00B57616" w:rsidRPr="000821DB" w:rsidRDefault="00B57616" w:rsidP="00B57616">
            <w:pPr>
              <w:pStyle w:val="TableTextLeft"/>
              <w:rPr>
                <w:rFonts w:asciiTheme="minorHAnsi" w:hAnsiTheme="minorHAnsi" w:cstheme="minorHAnsi"/>
                <w:b/>
                <w:bCs/>
              </w:rPr>
            </w:pPr>
            <w:r w:rsidRPr="000821DB">
              <w:rPr>
                <w:rFonts w:asciiTheme="minorHAnsi" w:hAnsiTheme="minorHAnsi" w:cstheme="minorHAnsi"/>
                <w:b/>
                <w:bCs/>
              </w:rPr>
              <w:t>Reporting period</w:t>
            </w:r>
          </w:p>
        </w:tc>
        <w:tc>
          <w:tcPr>
            <w:tcW w:w="251" w:type="dxa"/>
            <w:shd w:val="clear" w:color="auto" w:fill="000000" w:themeFill="text1"/>
          </w:tcPr>
          <w:p w14:paraId="5949EC1F" w14:textId="77777777" w:rsidR="00B57616" w:rsidRPr="00464BF8" w:rsidRDefault="00B57616" w:rsidP="00B57616">
            <w:pPr>
              <w:pStyle w:val="TableTextLeft"/>
              <w:rPr>
                <w:rFonts w:asciiTheme="minorHAnsi" w:hAnsiTheme="minorHAnsi" w:cstheme="minorHAnsi"/>
              </w:rPr>
            </w:pPr>
          </w:p>
        </w:tc>
        <w:tc>
          <w:tcPr>
            <w:tcW w:w="9458" w:type="dxa"/>
          </w:tcPr>
          <w:p w14:paraId="03F45076" w14:textId="3088F46A" w:rsidR="00B57616" w:rsidRPr="001942A3" w:rsidRDefault="00172A22" w:rsidP="00CA0769">
            <w:pPr>
              <w:pStyle w:val="TableTextLeft"/>
              <w:rPr>
                <w:rFonts w:asciiTheme="minorHAnsi" w:hAnsiTheme="minorHAnsi" w:cstheme="minorHAnsi"/>
                <w:bCs/>
                <w:i/>
                <w:iCs/>
              </w:rPr>
            </w:pPr>
            <w:sdt>
              <w:sdtPr>
                <w:rPr>
                  <w:rFonts w:asciiTheme="minorHAnsi" w:hAnsiTheme="minorHAnsi" w:cstheme="minorHAnsi"/>
                  <w:i/>
                </w:rPr>
                <w:tag w:val="[demo]AD[/demo][policy]AD[/policy]sudmrt1sec1row9cell2"/>
                <w:id w:val="1282994938"/>
                <w:placeholder>
                  <w:docPart w:val="4E8F8167148247D7B403719C7E6C647C"/>
                </w:placeholder>
                <w:text w:multiLine="1"/>
              </w:sdtPr>
              <w:sdtEndPr/>
              <w:sdtContent>
                <w:r w:rsidR="00970B3E">
                  <w:rPr>
                    <w:rFonts w:asciiTheme="minorHAnsi" w:hAnsiTheme="minorHAnsi" w:cstheme="minorHAnsi"/>
                    <w:i/>
                  </w:rPr>
                  <w:t>7/01/2021 – 9/30/2021</w:t>
                </w:r>
                <w:r w:rsidR="00970B3E" w:rsidRPr="001942A3">
                  <w:rPr>
                    <w:rFonts w:asciiTheme="minorHAnsi" w:hAnsiTheme="minorHAnsi" w:cstheme="minorHAnsi"/>
                    <w:i/>
                  </w:rPr>
                  <w:t xml:space="preserve"> </w:t>
                </w:r>
              </w:sdtContent>
            </w:sdt>
          </w:p>
        </w:tc>
      </w:tr>
    </w:tbl>
    <w:p w14:paraId="1F030921" w14:textId="77777777" w:rsidR="00DE0B86" w:rsidRPr="00DB75AB" w:rsidRDefault="00DE0B86" w:rsidP="008D06AA">
      <w:pPr>
        <w:pStyle w:val="H3"/>
        <w:outlineLvl w:val="0"/>
      </w:pPr>
      <w:bookmarkStart w:id="10" w:name="_Hlk29449753"/>
      <w:r w:rsidRPr="00DB75AB">
        <w:lastRenderedPageBreak/>
        <w:t>2.</w:t>
      </w:r>
      <w:r>
        <w:tab/>
      </w:r>
      <w:r w:rsidRPr="00DB75AB">
        <w:t xml:space="preserve">Executive </w:t>
      </w:r>
      <w:r>
        <w:t>s</w:t>
      </w:r>
      <w:r w:rsidRPr="00DB75AB">
        <w:t>ummary</w:t>
      </w:r>
    </w:p>
    <w:p w14:paraId="74CA89E6" w14:textId="77777777" w:rsidR="00276403" w:rsidRDefault="00276403" w:rsidP="00276403">
      <w:pPr>
        <w:pStyle w:val="Paragraph"/>
      </w:pPr>
      <w:r w:rsidRPr="00FB2A68">
        <w:t xml:space="preserve">Louisiana received approval of the Healthy Louisiana </w:t>
      </w:r>
      <w:r>
        <w:t>Substance Use Disorder</w:t>
      </w:r>
      <w:r w:rsidRPr="00FB2A68">
        <w:t xml:space="preserve"> 1115 </w:t>
      </w:r>
      <w:r>
        <w:t>D</w:t>
      </w:r>
      <w:r w:rsidRPr="00FB2A68">
        <w:t>emonstration waiver on February 1, 2018. Louisiana completed action items identified in the approved Implementation Plan Protocol within the indicated timelines. Related to milestone 3, education of the benefits of Medication Assisted Treatment (MAT) is an ongoing initiative.</w:t>
      </w:r>
    </w:p>
    <w:p w14:paraId="76050062" w14:textId="64FFE9D8" w:rsidR="008A723D" w:rsidRDefault="008A723D" w:rsidP="00276403">
      <w:pPr>
        <w:tabs>
          <w:tab w:val="left" w:pos="792"/>
        </w:tabs>
        <w:spacing w:line="240" w:lineRule="auto"/>
      </w:pPr>
      <w:r>
        <w:t xml:space="preserve">In DY4 Q3, the state </w:t>
      </w:r>
      <w:r w:rsidR="00505D46">
        <w:t>incr</w:t>
      </w:r>
      <w:r w:rsidR="00043402">
        <w:t xml:space="preserve">eased activities related to the upcoming submission of the 1115 </w:t>
      </w:r>
      <w:r w:rsidR="00505D46">
        <w:t>extension application</w:t>
      </w:r>
      <w:r w:rsidR="00043402">
        <w:t xml:space="preserve">, </w:t>
      </w:r>
      <w:r w:rsidR="00714F53">
        <w:t xml:space="preserve">which is </w:t>
      </w:r>
      <w:r w:rsidR="00043402">
        <w:t>due to CMS prior to December 31, 2021. In particular, the state finalized steps for compliance with the transparency requirements and public notice period. The state continued to coordinate with the independent evaluator regarding the</w:t>
      </w:r>
      <w:r w:rsidR="00505D46">
        <w:t xml:space="preserve"> Interim Evaluation</w:t>
      </w:r>
      <w:r w:rsidR="00043402">
        <w:t>, including discussion and review of timelines, data, and outcomes</w:t>
      </w:r>
      <w:r w:rsidR="00505D46">
        <w:t xml:space="preserve">. </w:t>
      </w:r>
    </w:p>
    <w:p w14:paraId="540949D5" w14:textId="02772D88" w:rsidR="00043402" w:rsidRDefault="00043402" w:rsidP="00276403">
      <w:pPr>
        <w:tabs>
          <w:tab w:val="left" w:pos="792"/>
        </w:tabs>
        <w:spacing w:line="240" w:lineRule="auto"/>
      </w:pPr>
      <w:r>
        <w:t xml:space="preserve">Due to requests related to the 1115 metrics technical specifications and methodologies, CMS granted an extension to the state for this DY4 Q3 monitoring report. The extended deadline allowed the state to make necessary changes to the </w:t>
      </w:r>
      <w:r w:rsidR="00714F53">
        <w:t xml:space="preserve">1115 data pull logic, which resulted in large increases in Q2 data compared to Q1. </w:t>
      </w:r>
      <w:r>
        <w:t xml:space="preserve"> </w:t>
      </w:r>
    </w:p>
    <w:p w14:paraId="6B19E7DC" w14:textId="2DD8C787" w:rsidR="00406704" w:rsidRDefault="00406704" w:rsidP="00276403">
      <w:pPr>
        <w:tabs>
          <w:tab w:val="left" w:pos="792"/>
        </w:tabs>
        <w:spacing w:line="240" w:lineRule="auto"/>
      </w:pPr>
      <w:r>
        <w:t xml:space="preserve"> </w:t>
      </w:r>
    </w:p>
    <w:p w14:paraId="1F2B075A" w14:textId="4FBC249B" w:rsidR="001605D5" w:rsidRDefault="001605D5">
      <w:pPr>
        <w:spacing w:line="240" w:lineRule="auto"/>
      </w:pPr>
      <w:r>
        <w:br w:type="page"/>
      </w:r>
    </w:p>
    <w:bookmarkEnd w:id="10"/>
    <w:p w14:paraId="714DD9CD" w14:textId="77777777" w:rsidR="00DE0B86" w:rsidRPr="00172063" w:rsidRDefault="00DE0B86" w:rsidP="008D06AA">
      <w:pPr>
        <w:pStyle w:val="H3"/>
        <w:outlineLvl w:val="0"/>
      </w:pPr>
      <w:r w:rsidRPr="00172063">
        <w:lastRenderedPageBreak/>
        <w:t>3.</w:t>
      </w:r>
      <w:r>
        <w:tab/>
      </w:r>
      <w:r w:rsidRPr="00172063">
        <w:t>Narrative information on implementation, by milestone and reporting topic</w:t>
      </w:r>
    </w:p>
    <w:tbl>
      <w:tblPr>
        <w:tblStyle w:val="TableGrid21"/>
        <w:tblW w:w="12955" w:type="dxa"/>
        <w:tblBorders>
          <w:insideH w:val="single" w:sz="4" w:space="0" w:color="DDE0E3" w:themeColor="accent3" w:themeTint="33"/>
          <w:insideV w:val="single" w:sz="4" w:space="0" w:color="DDE0E3" w:themeColor="accent3" w:themeTint="33"/>
        </w:tblBorders>
        <w:tblLayout w:type="fixed"/>
        <w:tblLook w:val="04A0" w:firstRow="1" w:lastRow="0" w:firstColumn="1" w:lastColumn="0" w:noHBand="0" w:noVBand="1"/>
        <w:tblCaption w:val="Narrative Information on Implementation, by Milestone and Reporting Topic"/>
      </w:tblPr>
      <w:tblGrid>
        <w:gridCol w:w="4945"/>
        <w:gridCol w:w="1440"/>
        <w:gridCol w:w="1710"/>
        <w:gridCol w:w="4860"/>
      </w:tblGrid>
      <w:tr w:rsidR="00DE0B86" w:rsidRPr="00CA5CFA" w14:paraId="4883C3BC" w14:textId="77777777" w:rsidTr="00757B4B">
        <w:trPr>
          <w:cantSplit/>
          <w:trHeight w:val="638"/>
          <w:tblHeader/>
        </w:trPr>
        <w:tc>
          <w:tcPr>
            <w:tcW w:w="4945" w:type="dxa"/>
            <w:tcBorders>
              <w:top w:val="single" w:sz="4" w:space="0" w:color="auto"/>
              <w:bottom w:val="single" w:sz="4" w:space="0" w:color="auto"/>
              <w:right w:val="single" w:sz="4" w:space="0" w:color="auto"/>
            </w:tcBorders>
            <w:shd w:val="clear" w:color="auto" w:fill="6C6F70"/>
            <w:vAlign w:val="bottom"/>
          </w:tcPr>
          <w:p w14:paraId="52A98F9F" w14:textId="77777777" w:rsidR="00DE0B86" w:rsidRPr="00464BF8" w:rsidRDefault="00DE0B86" w:rsidP="00512D1E">
            <w:pPr>
              <w:pStyle w:val="TableHeaderCenter"/>
              <w:rPr>
                <w:rFonts w:asciiTheme="minorHAnsi" w:hAnsiTheme="minorHAnsi" w:cstheme="minorHAnsi"/>
                <w:i/>
              </w:rPr>
            </w:pPr>
            <w:bookmarkStart w:id="11" w:name="_Hlk37338964"/>
            <w:bookmarkStart w:id="12" w:name="_Hlk38039559"/>
            <w:r w:rsidRPr="00464BF8">
              <w:rPr>
                <w:rFonts w:asciiTheme="minorHAnsi" w:hAnsiTheme="minorHAnsi" w:cstheme="minorHAnsi"/>
              </w:rPr>
              <w:t>Prompt</w:t>
            </w:r>
          </w:p>
        </w:tc>
        <w:tc>
          <w:tcPr>
            <w:tcW w:w="1440" w:type="dxa"/>
            <w:tcBorders>
              <w:top w:val="single" w:sz="4" w:space="0" w:color="auto"/>
              <w:left w:val="single" w:sz="4" w:space="0" w:color="auto"/>
              <w:bottom w:val="single" w:sz="4" w:space="0" w:color="auto"/>
              <w:right w:val="single" w:sz="4" w:space="0" w:color="auto"/>
            </w:tcBorders>
            <w:shd w:val="clear" w:color="auto" w:fill="6C6F70"/>
            <w:vAlign w:val="bottom"/>
          </w:tcPr>
          <w:p w14:paraId="4DF7B43B" w14:textId="77777777" w:rsidR="00DE0B86" w:rsidRPr="00464BF8" w:rsidRDefault="00DE0B86" w:rsidP="00CA5CFA">
            <w:pPr>
              <w:pStyle w:val="TableHeaderCenter"/>
              <w:rPr>
                <w:rFonts w:asciiTheme="minorHAnsi" w:hAnsiTheme="minorHAnsi" w:cstheme="minorHAnsi"/>
              </w:rPr>
            </w:pPr>
            <w:r w:rsidRPr="00464BF8">
              <w:rPr>
                <w:rFonts w:asciiTheme="minorHAnsi" w:hAnsiTheme="minorHAnsi" w:cstheme="minorHAnsi"/>
              </w:rPr>
              <w:t>State has no trends/update to report (</w:t>
            </w:r>
            <w:r w:rsidR="008552D3">
              <w:rPr>
                <w:rFonts w:asciiTheme="minorHAnsi" w:hAnsiTheme="minorHAnsi" w:cstheme="minorHAnsi"/>
              </w:rPr>
              <w:t>p</w:t>
            </w:r>
            <w:r w:rsidRPr="00464BF8">
              <w:rPr>
                <w:rFonts w:asciiTheme="minorHAnsi" w:hAnsiTheme="minorHAnsi" w:cstheme="minorHAnsi"/>
              </w:rPr>
              <w:t>lace an X)</w:t>
            </w:r>
          </w:p>
        </w:tc>
        <w:tc>
          <w:tcPr>
            <w:tcW w:w="1710" w:type="dxa"/>
            <w:tcBorders>
              <w:top w:val="single" w:sz="4" w:space="0" w:color="auto"/>
              <w:left w:val="single" w:sz="4" w:space="0" w:color="auto"/>
              <w:bottom w:val="single" w:sz="4" w:space="0" w:color="auto"/>
              <w:right w:val="single" w:sz="4" w:space="0" w:color="auto"/>
            </w:tcBorders>
            <w:shd w:val="clear" w:color="auto" w:fill="6C6F70"/>
            <w:vAlign w:val="bottom"/>
          </w:tcPr>
          <w:p w14:paraId="32CA23BC" w14:textId="77777777" w:rsidR="00DE0B86" w:rsidRPr="00464BF8" w:rsidRDefault="00DE0B86" w:rsidP="00CA5CFA">
            <w:pPr>
              <w:pStyle w:val="TableHeaderCenter"/>
              <w:rPr>
                <w:rFonts w:asciiTheme="minorHAnsi" w:hAnsiTheme="minorHAnsi" w:cstheme="minorHAnsi"/>
              </w:rPr>
            </w:pPr>
            <w:r w:rsidRPr="00464BF8">
              <w:rPr>
                <w:rFonts w:asciiTheme="minorHAnsi" w:hAnsiTheme="minorHAnsi" w:cstheme="minorHAnsi"/>
              </w:rPr>
              <w:t xml:space="preserve">Related metric(s) </w:t>
            </w:r>
            <w:r w:rsidR="00A02C6E" w:rsidRPr="00464BF8">
              <w:rPr>
                <w:rFonts w:asciiTheme="minorHAnsi" w:hAnsiTheme="minorHAnsi" w:cstheme="minorHAnsi"/>
              </w:rPr>
              <w:br/>
            </w:r>
            <w:r w:rsidRPr="00464BF8">
              <w:rPr>
                <w:rFonts w:asciiTheme="minorHAnsi" w:hAnsiTheme="minorHAnsi" w:cstheme="minorHAnsi"/>
              </w:rPr>
              <w:t>(if any)</w:t>
            </w:r>
          </w:p>
        </w:tc>
        <w:tc>
          <w:tcPr>
            <w:tcW w:w="4860" w:type="dxa"/>
            <w:tcBorders>
              <w:top w:val="single" w:sz="4" w:space="0" w:color="auto"/>
              <w:left w:val="single" w:sz="4" w:space="0" w:color="auto"/>
              <w:bottom w:val="single" w:sz="4" w:space="0" w:color="auto"/>
            </w:tcBorders>
            <w:shd w:val="clear" w:color="auto" w:fill="6C6F70"/>
            <w:vAlign w:val="bottom"/>
          </w:tcPr>
          <w:p w14:paraId="0FC9B725" w14:textId="77777777" w:rsidR="00DE0B86" w:rsidRPr="00464BF8" w:rsidRDefault="00DE0B86" w:rsidP="00CA5CFA">
            <w:pPr>
              <w:pStyle w:val="TableHeaderCenter"/>
              <w:rPr>
                <w:rFonts w:asciiTheme="minorHAnsi" w:hAnsiTheme="minorHAnsi" w:cstheme="minorHAnsi"/>
                <w:i/>
              </w:rPr>
            </w:pPr>
            <w:r w:rsidRPr="00464BF8">
              <w:rPr>
                <w:rFonts w:asciiTheme="minorHAnsi" w:hAnsiTheme="minorHAnsi" w:cstheme="minorHAnsi"/>
              </w:rPr>
              <w:t>State response</w:t>
            </w:r>
          </w:p>
        </w:tc>
      </w:tr>
      <w:bookmarkEnd w:id="11"/>
      <w:tr w:rsidR="00DE0B86" w:rsidRPr="00CA5CFA" w14:paraId="40E13510" w14:textId="77777777" w:rsidTr="00757B4B">
        <w:trPr>
          <w:cantSplit/>
          <w:trHeight w:val="220"/>
        </w:trPr>
        <w:tc>
          <w:tcPr>
            <w:tcW w:w="12955" w:type="dxa"/>
            <w:gridSpan w:val="4"/>
            <w:tcBorders>
              <w:top w:val="single" w:sz="4" w:space="0" w:color="auto"/>
              <w:bottom w:val="single" w:sz="4" w:space="0" w:color="DDE0E3" w:themeColor="accent3" w:themeTint="33"/>
            </w:tcBorders>
            <w:shd w:val="clear" w:color="auto" w:fill="D9D9D9"/>
          </w:tcPr>
          <w:p w14:paraId="01F8CD1B" w14:textId="77777777" w:rsidR="00DE0B86" w:rsidRPr="00464BF8" w:rsidRDefault="00DE0B86" w:rsidP="00CA5CFA">
            <w:pPr>
              <w:rPr>
                <w:rFonts w:cstheme="minorHAnsi"/>
                <w:b/>
                <w:color w:val="000000" w:themeColor="text1"/>
                <w:sz w:val="20"/>
              </w:rPr>
            </w:pPr>
            <w:r w:rsidRPr="00464BF8">
              <w:rPr>
                <w:rFonts w:cstheme="minorHAnsi"/>
                <w:b/>
                <w:sz w:val="20"/>
              </w:rPr>
              <w:t>1. Assessment of need and qualification for SUD services</w:t>
            </w:r>
          </w:p>
        </w:tc>
      </w:tr>
      <w:tr w:rsidR="00DE0B86" w:rsidRPr="00CA5CFA" w14:paraId="72DAF0E4" w14:textId="77777777" w:rsidTr="00757B4B">
        <w:trPr>
          <w:cantSplit/>
          <w:trHeight w:val="220"/>
        </w:trPr>
        <w:tc>
          <w:tcPr>
            <w:tcW w:w="12955" w:type="dxa"/>
            <w:gridSpan w:val="4"/>
            <w:tcBorders>
              <w:top w:val="single" w:sz="4" w:space="0" w:color="DDE0E3" w:themeColor="accent3" w:themeTint="33"/>
            </w:tcBorders>
            <w:shd w:val="clear" w:color="auto" w:fill="F2F2F2"/>
          </w:tcPr>
          <w:p w14:paraId="1ABD7FC2" w14:textId="77777777" w:rsidR="00DE0B86" w:rsidRPr="00464BF8" w:rsidRDefault="00DE0B86" w:rsidP="00CA5CFA">
            <w:pPr>
              <w:rPr>
                <w:rFonts w:cstheme="minorHAnsi"/>
                <w:b/>
                <w:sz w:val="20"/>
              </w:rPr>
            </w:pPr>
            <w:r w:rsidRPr="00464BF8">
              <w:rPr>
                <w:rFonts w:cstheme="minorHAnsi"/>
                <w:b/>
                <w:sz w:val="20"/>
              </w:rPr>
              <w:t>1.1 Metric trends</w:t>
            </w:r>
          </w:p>
        </w:tc>
      </w:tr>
      <w:tr w:rsidR="00DE0B86" w:rsidRPr="00CA5CFA" w14:paraId="394882FB" w14:textId="77777777" w:rsidTr="00CC2FC2">
        <w:trPr>
          <w:cantSplit/>
          <w:trHeight w:val="233"/>
        </w:trPr>
        <w:tc>
          <w:tcPr>
            <w:tcW w:w="4945" w:type="dxa"/>
          </w:tcPr>
          <w:p w14:paraId="54585C9A" w14:textId="77777777" w:rsidR="00DE0B86" w:rsidRPr="00E60D72" w:rsidRDefault="00DE0B86" w:rsidP="007A7494">
            <w:pPr>
              <w:spacing w:after="40"/>
              <w:ind w:right="-18"/>
              <w:rPr>
                <w:rFonts w:cstheme="minorHAnsi"/>
                <w:i/>
                <w:color w:val="646464"/>
                <w:sz w:val="20"/>
              </w:rPr>
            </w:pPr>
            <w:r w:rsidRPr="00464BF8">
              <w:rPr>
                <w:rFonts w:cstheme="minorHAnsi"/>
                <w:sz w:val="20"/>
              </w:rPr>
              <w:t>1.1.1. The state reports the following metric trends, including all changes (+ or -) greater than 2 percent related to assessment of need and qualification for SUD services</w:t>
            </w:r>
          </w:p>
        </w:tc>
        <w:tc>
          <w:tcPr>
            <w:tcW w:w="1440" w:type="dxa"/>
          </w:tcPr>
          <w:p w14:paraId="5CE570DC" w14:textId="6C785400" w:rsidR="00DE0B86" w:rsidRPr="00A34958" w:rsidRDefault="0047610C" w:rsidP="007A7494">
            <w:pPr>
              <w:spacing w:after="40"/>
              <w:ind w:right="-18"/>
              <w:rPr>
                <w:rFonts w:cstheme="minorHAnsi"/>
                <w:i/>
                <w:sz w:val="20"/>
              </w:rPr>
            </w:pPr>
            <w:r w:rsidRPr="00A34958">
              <w:rPr>
                <w:rFonts w:cstheme="minorHAnsi"/>
                <w:sz w:val="20"/>
              </w:rPr>
              <w:t xml:space="preserve"> </w:t>
            </w:r>
          </w:p>
        </w:tc>
        <w:tc>
          <w:tcPr>
            <w:tcW w:w="1710" w:type="dxa"/>
          </w:tcPr>
          <w:p w14:paraId="358AF492" w14:textId="77777777" w:rsidR="00356594" w:rsidRDefault="00EC2C91" w:rsidP="007A7494">
            <w:pPr>
              <w:spacing w:line="240" w:lineRule="auto"/>
              <w:ind w:right="-14"/>
              <w:contextualSpacing/>
              <w:rPr>
                <w:rFonts w:cstheme="minorHAnsi"/>
                <w:sz w:val="20"/>
              </w:rPr>
            </w:pPr>
            <w:r w:rsidRPr="00A34958">
              <w:rPr>
                <w:rFonts w:cstheme="minorHAnsi"/>
                <w:sz w:val="20"/>
              </w:rPr>
              <w:t>2</w:t>
            </w:r>
          </w:p>
          <w:p w14:paraId="207BD380" w14:textId="77777777" w:rsidR="001D4D6A" w:rsidRDefault="001D4D6A" w:rsidP="007A7494">
            <w:pPr>
              <w:spacing w:line="240" w:lineRule="auto"/>
              <w:ind w:right="-14"/>
              <w:contextualSpacing/>
              <w:rPr>
                <w:rFonts w:cstheme="minorHAnsi"/>
                <w:sz w:val="20"/>
              </w:rPr>
            </w:pPr>
          </w:p>
          <w:p w14:paraId="7D6F3322" w14:textId="77777777" w:rsidR="001D4D6A" w:rsidRDefault="001D4D6A" w:rsidP="007A7494">
            <w:pPr>
              <w:spacing w:line="240" w:lineRule="auto"/>
              <w:ind w:right="-14"/>
              <w:contextualSpacing/>
              <w:rPr>
                <w:rFonts w:cstheme="minorHAnsi"/>
                <w:sz w:val="20"/>
              </w:rPr>
            </w:pPr>
          </w:p>
          <w:p w14:paraId="2EF03821" w14:textId="77777777" w:rsidR="001D4D6A" w:rsidRDefault="001D4D6A" w:rsidP="007A7494">
            <w:pPr>
              <w:spacing w:line="240" w:lineRule="auto"/>
              <w:ind w:right="-14"/>
              <w:contextualSpacing/>
              <w:rPr>
                <w:rFonts w:cstheme="minorHAnsi"/>
                <w:sz w:val="20"/>
              </w:rPr>
            </w:pPr>
          </w:p>
          <w:p w14:paraId="698A58E0" w14:textId="77777777" w:rsidR="001D4D6A" w:rsidRDefault="001D4D6A" w:rsidP="007A7494">
            <w:pPr>
              <w:spacing w:line="240" w:lineRule="auto"/>
              <w:ind w:right="-14"/>
              <w:contextualSpacing/>
              <w:rPr>
                <w:rFonts w:cstheme="minorHAnsi"/>
                <w:sz w:val="20"/>
              </w:rPr>
            </w:pPr>
          </w:p>
          <w:p w14:paraId="0FFD38BB" w14:textId="77777777" w:rsidR="001D4D6A" w:rsidRDefault="001D4D6A" w:rsidP="007A7494">
            <w:pPr>
              <w:spacing w:line="240" w:lineRule="auto"/>
              <w:ind w:right="-14"/>
              <w:contextualSpacing/>
              <w:rPr>
                <w:rFonts w:cstheme="minorHAnsi"/>
                <w:sz w:val="20"/>
              </w:rPr>
            </w:pPr>
          </w:p>
          <w:p w14:paraId="32CF4256" w14:textId="77777777" w:rsidR="001D4D6A" w:rsidRDefault="001D4D6A" w:rsidP="007A7494">
            <w:pPr>
              <w:spacing w:line="240" w:lineRule="auto"/>
              <w:ind w:right="-14"/>
              <w:contextualSpacing/>
              <w:rPr>
                <w:rFonts w:cstheme="minorHAnsi"/>
                <w:sz w:val="20"/>
              </w:rPr>
            </w:pPr>
          </w:p>
          <w:p w14:paraId="41782C49" w14:textId="77777777" w:rsidR="001D4D6A" w:rsidRDefault="001D4D6A" w:rsidP="007A7494">
            <w:pPr>
              <w:spacing w:line="240" w:lineRule="auto"/>
              <w:ind w:right="-14"/>
              <w:contextualSpacing/>
              <w:rPr>
                <w:rFonts w:cstheme="minorHAnsi"/>
                <w:sz w:val="20"/>
              </w:rPr>
            </w:pPr>
          </w:p>
          <w:p w14:paraId="29ADA8BA" w14:textId="77777777" w:rsidR="001D4D6A" w:rsidRDefault="001D4D6A" w:rsidP="007A7494">
            <w:pPr>
              <w:spacing w:line="240" w:lineRule="auto"/>
              <w:ind w:right="-14"/>
              <w:contextualSpacing/>
              <w:rPr>
                <w:rFonts w:cstheme="minorHAnsi"/>
                <w:sz w:val="20"/>
              </w:rPr>
            </w:pPr>
          </w:p>
          <w:p w14:paraId="69279DDB" w14:textId="20E6AEBA" w:rsidR="001D4D6A" w:rsidRPr="00A34958" w:rsidRDefault="001D4D6A" w:rsidP="007A7494">
            <w:pPr>
              <w:spacing w:line="240" w:lineRule="auto"/>
              <w:ind w:right="-14"/>
              <w:contextualSpacing/>
              <w:rPr>
                <w:rFonts w:cstheme="minorHAnsi"/>
                <w:sz w:val="20"/>
              </w:rPr>
            </w:pPr>
            <w:r>
              <w:rPr>
                <w:rFonts w:cstheme="minorHAnsi"/>
                <w:sz w:val="20"/>
              </w:rPr>
              <w:t>3</w:t>
            </w:r>
          </w:p>
        </w:tc>
        <w:tc>
          <w:tcPr>
            <w:tcW w:w="4860" w:type="dxa"/>
          </w:tcPr>
          <w:p w14:paraId="42B609A3" w14:textId="2298EC8E" w:rsidR="00C466C8" w:rsidRPr="00714F53" w:rsidRDefault="00C81555" w:rsidP="00C466C8">
            <w:pPr>
              <w:rPr>
                <w:rFonts w:cstheme="minorHAnsi"/>
                <w:sz w:val="20"/>
              </w:rPr>
            </w:pPr>
            <w:r w:rsidRPr="00A34958">
              <w:rPr>
                <w:rFonts w:cstheme="minorHAnsi"/>
                <w:sz w:val="20"/>
              </w:rPr>
              <w:t>During this reporting period</w:t>
            </w:r>
            <w:r>
              <w:rPr>
                <w:rFonts w:cstheme="minorHAnsi"/>
                <w:sz w:val="20"/>
              </w:rPr>
              <w:t xml:space="preserve"> for</w:t>
            </w:r>
            <w:r w:rsidRPr="00A34958">
              <w:rPr>
                <w:rFonts w:cstheme="minorHAnsi"/>
                <w:sz w:val="20"/>
              </w:rPr>
              <w:t xml:space="preserve"> metric 2</w:t>
            </w:r>
            <w:r>
              <w:rPr>
                <w:rFonts w:cstheme="minorHAnsi"/>
                <w:sz w:val="20"/>
              </w:rPr>
              <w:t xml:space="preserve">, </w:t>
            </w:r>
            <w:r w:rsidRPr="00A34958">
              <w:rPr>
                <w:rFonts w:cstheme="minorHAnsi"/>
                <w:sz w:val="20"/>
              </w:rPr>
              <w:t>Medicaid beneficiaries with Newly Initiated SUD Treatment/Diagnosis</w:t>
            </w:r>
            <w:r>
              <w:rPr>
                <w:rFonts w:cstheme="minorHAnsi"/>
                <w:sz w:val="20"/>
              </w:rPr>
              <w:t xml:space="preserve">, the numerator increased by </w:t>
            </w:r>
            <w:r w:rsidR="00C466C8">
              <w:rPr>
                <w:rFonts w:cstheme="minorHAnsi"/>
                <w:sz w:val="20"/>
              </w:rPr>
              <w:t>662</w:t>
            </w:r>
            <w:r>
              <w:rPr>
                <w:rFonts w:cstheme="minorHAnsi"/>
                <w:sz w:val="20"/>
              </w:rPr>
              <w:t xml:space="preserve"> recipients for a </w:t>
            </w:r>
            <w:r w:rsidR="00C466C8">
              <w:rPr>
                <w:rFonts w:cstheme="minorHAnsi"/>
                <w:sz w:val="20"/>
              </w:rPr>
              <w:t>11.21%</w:t>
            </w:r>
            <w:r>
              <w:rPr>
                <w:rFonts w:cstheme="minorHAnsi"/>
                <w:sz w:val="20"/>
              </w:rPr>
              <w:t xml:space="preserve"> increase.</w:t>
            </w:r>
            <w:r w:rsidRPr="00A34958">
              <w:rPr>
                <w:rFonts w:cstheme="minorHAnsi"/>
                <w:sz w:val="20"/>
              </w:rPr>
              <w:t xml:space="preserve"> </w:t>
            </w:r>
            <w:r w:rsidRPr="00714F53">
              <w:rPr>
                <w:rFonts w:cstheme="minorHAnsi"/>
                <w:sz w:val="20"/>
              </w:rPr>
              <w:t xml:space="preserve">Factors contributing to this increase </w:t>
            </w:r>
            <w:r w:rsidR="00C466C8" w:rsidRPr="00714F53">
              <w:rPr>
                <w:rFonts w:cstheme="minorHAnsi"/>
                <w:sz w:val="20"/>
              </w:rPr>
              <w:t>in percent change is the result of data pull logic modifications related to date of service used for inclusion in reporting period.</w:t>
            </w:r>
          </w:p>
          <w:p w14:paraId="5C9C99B0" w14:textId="77777777" w:rsidR="00C466C8" w:rsidRPr="00714F53" w:rsidRDefault="00C466C8" w:rsidP="00C466C8">
            <w:pPr>
              <w:rPr>
                <w:rFonts w:cstheme="minorHAnsi"/>
                <w:sz w:val="20"/>
              </w:rPr>
            </w:pPr>
          </w:p>
          <w:p w14:paraId="136395B9" w14:textId="5A6E58B2" w:rsidR="001D4D6A" w:rsidRPr="00714F53" w:rsidRDefault="001D4D6A" w:rsidP="001D4D6A">
            <w:pPr>
              <w:rPr>
                <w:rFonts w:cstheme="minorHAnsi"/>
                <w:sz w:val="20"/>
              </w:rPr>
            </w:pPr>
            <w:r w:rsidRPr="00A34958">
              <w:rPr>
                <w:rFonts w:cstheme="minorHAnsi"/>
                <w:sz w:val="20"/>
              </w:rPr>
              <w:t>During this reporting period</w:t>
            </w:r>
            <w:r>
              <w:rPr>
                <w:rFonts w:cstheme="minorHAnsi"/>
                <w:sz w:val="20"/>
              </w:rPr>
              <w:t xml:space="preserve"> for metric 3, </w:t>
            </w:r>
            <w:r w:rsidRPr="00A34958">
              <w:rPr>
                <w:rFonts w:cstheme="minorHAnsi"/>
                <w:sz w:val="20"/>
              </w:rPr>
              <w:t>Medicaid beneficiaries with SUD Diagnosis</w:t>
            </w:r>
            <w:r>
              <w:rPr>
                <w:rFonts w:cstheme="minorHAnsi"/>
                <w:sz w:val="20"/>
              </w:rPr>
              <w:t xml:space="preserve">, the numerator increased by </w:t>
            </w:r>
            <w:r w:rsidR="00FE2E8E">
              <w:rPr>
                <w:rFonts w:cstheme="minorHAnsi"/>
                <w:sz w:val="20"/>
              </w:rPr>
              <w:t>5081</w:t>
            </w:r>
            <w:r>
              <w:rPr>
                <w:rFonts w:cstheme="minorHAnsi"/>
                <w:sz w:val="20"/>
              </w:rPr>
              <w:t xml:space="preserve"> recipients for a </w:t>
            </w:r>
            <w:r w:rsidR="00FE2E8E">
              <w:rPr>
                <w:rFonts w:cstheme="minorHAnsi"/>
                <w:sz w:val="20"/>
              </w:rPr>
              <w:t>6.74</w:t>
            </w:r>
            <w:r>
              <w:rPr>
                <w:rFonts w:cstheme="minorHAnsi"/>
                <w:sz w:val="20"/>
              </w:rPr>
              <w:t>% increase.</w:t>
            </w:r>
            <w:r w:rsidRPr="00A34958">
              <w:rPr>
                <w:rFonts w:cstheme="minorHAnsi"/>
                <w:sz w:val="20"/>
              </w:rPr>
              <w:t xml:space="preserve"> </w:t>
            </w:r>
            <w:r w:rsidRPr="00714F53">
              <w:rPr>
                <w:rFonts w:cstheme="minorHAnsi"/>
                <w:sz w:val="20"/>
              </w:rPr>
              <w:t>Factors contributing to this increase in percent change is the result of data pull logic modifications related to date of service used for inclusion in reporting period.</w:t>
            </w:r>
          </w:p>
          <w:p w14:paraId="2FDFD704" w14:textId="499F7F7C" w:rsidR="00356594" w:rsidRPr="00A34958" w:rsidRDefault="00356594" w:rsidP="00C466C8">
            <w:pPr>
              <w:spacing w:line="240" w:lineRule="auto"/>
              <w:ind w:right="-14"/>
              <w:contextualSpacing/>
              <w:rPr>
                <w:sz w:val="20"/>
              </w:rPr>
            </w:pPr>
          </w:p>
        </w:tc>
      </w:tr>
      <w:tr w:rsidR="00DE0B86" w:rsidRPr="00CA5CFA" w14:paraId="76462F44" w14:textId="77777777" w:rsidTr="00CC2FC2">
        <w:trPr>
          <w:cantSplit/>
          <w:trHeight w:val="220"/>
        </w:trPr>
        <w:tc>
          <w:tcPr>
            <w:tcW w:w="12955" w:type="dxa"/>
            <w:gridSpan w:val="4"/>
            <w:shd w:val="clear" w:color="auto" w:fill="F2F2F2"/>
          </w:tcPr>
          <w:p w14:paraId="2DD59873" w14:textId="77777777" w:rsidR="00DE0B86" w:rsidRPr="00464BF8" w:rsidRDefault="00DE0B86" w:rsidP="00CA5CFA">
            <w:pPr>
              <w:rPr>
                <w:rFonts w:cstheme="minorHAnsi"/>
                <w:b/>
                <w:sz w:val="20"/>
              </w:rPr>
            </w:pPr>
            <w:r w:rsidRPr="00464BF8">
              <w:rPr>
                <w:rFonts w:cstheme="minorHAnsi"/>
                <w:b/>
                <w:sz w:val="20"/>
              </w:rPr>
              <w:t xml:space="preserve">1.2 Implementation update </w:t>
            </w:r>
          </w:p>
        </w:tc>
      </w:tr>
      <w:tr w:rsidR="00DE0B86" w:rsidRPr="00CA5CFA" w14:paraId="64F025B1" w14:textId="77777777" w:rsidTr="007519F4">
        <w:trPr>
          <w:cantSplit/>
          <w:trHeight w:val="233"/>
        </w:trPr>
        <w:tc>
          <w:tcPr>
            <w:tcW w:w="4945" w:type="dxa"/>
            <w:tcBorders>
              <w:bottom w:val="single" w:sz="4" w:space="0" w:color="DDE0E3" w:themeColor="accent3" w:themeTint="33"/>
            </w:tcBorders>
          </w:tcPr>
          <w:p w14:paraId="7D904C72" w14:textId="77777777" w:rsidR="00DE0B86" w:rsidRPr="00464BF8" w:rsidRDefault="00DE0B86" w:rsidP="0047610C">
            <w:pPr>
              <w:spacing w:before="40" w:after="40"/>
              <w:rPr>
                <w:rFonts w:cstheme="minorHAnsi"/>
                <w:iCs/>
                <w:sz w:val="20"/>
              </w:rPr>
            </w:pPr>
            <w:r w:rsidRPr="00464BF8">
              <w:rPr>
                <w:rFonts w:cstheme="minorHAnsi"/>
                <w:iCs/>
                <w:sz w:val="20"/>
              </w:rPr>
              <w:t xml:space="preserve">1.2.1. Compared to the demonstration design and operational details, the state expects to make the following changes to: </w:t>
            </w:r>
          </w:p>
          <w:p w14:paraId="23D19E49" w14:textId="77777777" w:rsidR="00DE0B86" w:rsidRPr="00464BF8" w:rsidRDefault="00DE0B86" w:rsidP="0047610C">
            <w:pPr>
              <w:pStyle w:val="ListParagraph"/>
              <w:numPr>
                <w:ilvl w:val="0"/>
                <w:numId w:val="39"/>
              </w:numPr>
              <w:spacing w:before="40" w:after="40" w:line="240" w:lineRule="auto"/>
              <w:ind w:left="876" w:hanging="180"/>
              <w:rPr>
                <w:rFonts w:cstheme="minorHAnsi"/>
                <w:i/>
                <w:sz w:val="20"/>
              </w:rPr>
            </w:pPr>
            <w:r w:rsidRPr="00464BF8">
              <w:rPr>
                <w:rFonts w:cstheme="minorHAnsi"/>
                <w:iCs/>
                <w:sz w:val="20"/>
              </w:rPr>
              <w:t>The target population(s) of the demonstration</w:t>
            </w:r>
            <w:r w:rsidRPr="00464BF8">
              <w:rPr>
                <w:rFonts w:cstheme="minorHAnsi"/>
                <w:i/>
                <w:sz w:val="20"/>
              </w:rPr>
              <w:t xml:space="preserve">  </w:t>
            </w:r>
          </w:p>
        </w:tc>
        <w:tc>
          <w:tcPr>
            <w:tcW w:w="1440" w:type="dxa"/>
            <w:tcBorders>
              <w:bottom w:val="single" w:sz="4" w:space="0" w:color="DDE0E3" w:themeColor="accent3" w:themeTint="33"/>
            </w:tcBorders>
            <w:shd w:val="clear" w:color="auto" w:fill="auto"/>
          </w:tcPr>
          <w:p w14:paraId="3BB22D83" w14:textId="02E289B3" w:rsidR="00DE0B86" w:rsidRPr="00A34958" w:rsidRDefault="00883D8C" w:rsidP="0047610C">
            <w:pPr>
              <w:spacing w:before="40" w:after="40"/>
              <w:ind w:right="-18"/>
              <w:rPr>
                <w:rFonts w:cstheme="minorHAnsi"/>
                <w:sz w:val="20"/>
              </w:rPr>
            </w:pPr>
            <w:r w:rsidRPr="00A34958">
              <w:rPr>
                <w:rFonts w:cstheme="minorHAnsi"/>
                <w:sz w:val="20"/>
              </w:rPr>
              <w:t>X</w:t>
            </w:r>
          </w:p>
        </w:tc>
        <w:tc>
          <w:tcPr>
            <w:tcW w:w="1710" w:type="dxa"/>
            <w:tcBorders>
              <w:top w:val="single" w:sz="4" w:space="0" w:color="DDE0E3" w:themeColor="accent3" w:themeTint="33"/>
              <w:bottom w:val="single" w:sz="4" w:space="0" w:color="DDE0E3" w:themeColor="accent3" w:themeTint="33"/>
            </w:tcBorders>
            <w:shd w:val="clear" w:color="auto" w:fill="auto"/>
          </w:tcPr>
          <w:p w14:paraId="3D88D002" w14:textId="77777777" w:rsidR="00DE0B86" w:rsidRPr="00A34958" w:rsidRDefault="0047610C" w:rsidP="0047610C">
            <w:pPr>
              <w:spacing w:before="40" w:after="40"/>
              <w:ind w:right="-18"/>
              <w:rPr>
                <w:rFonts w:cstheme="minorHAnsi"/>
                <w:i/>
                <w:sz w:val="20"/>
              </w:rPr>
            </w:pPr>
            <w:r w:rsidRPr="00A34958">
              <w:rPr>
                <w:rFonts w:cstheme="minorHAnsi"/>
                <w:i/>
                <w:sz w:val="20"/>
              </w:rPr>
              <w:t xml:space="preserve"> </w:t>
            </w:r>
          </w:p>
        </w:tc>
        <w:tc>
          <w:tcPr>
            <w:tcW w:w="4860" w:type="dxa"/>
            <w:tcBorders>
              <w:bottom w:val="single" w:sz="4" w:space="0" w:color="DDE0E3" w:themeColor="accent3" w:themeTint="33"/>
            </w:tcBorders>
          </w:tcPr>
          <w:p w14:paraId="44A0B943" w14:textId="77777777" w:rsidR="00DE0B86" w:rsidRPr="00A34958" w:rsidRDefault="00DE0B86" w:rsidP="0047610C">
            <w:pPr>
              <w:spacing w:before="40" w:after="40"/>
              <w:ind w:right="-18"/>
              <w:rPr>
                <w:rFonts w:cstheme="minorHAnsi"/>
                <w:i/>
                <w:sz w:val="20"/>
              </w:rPr>
            </w:pPr>
          </w:p>
        </w:tc>
      </w:tr>
      <w:tr w:rsidR="00DE0B86" w:rsidRPr="00CA5CFA" w14:paraId="281D91EA" w14:textId="77777777" w:rsidTr="007519F4">
        <w:trPr>
          <w:cantSplit/>
          <w:trHeight w:val="233"/>
        </w:trPr>
        <w:tc>
          <w:tcPr>
            <w:tcW w:w="4945" w:type="dxa"/>
            <w:tcBorders>
              <w:top w:val="single" w:sz="4" w:space="0" w:color="DDE0E3" w:themeColor="accent3" w:themeTint="33"/>
              <w:bottom w:val="single" w:sz="4" w:space="0" w:color="DDE0E3" w:themeColor="accent3" w:themeTint="33"/>
            </w:tcBorders>
          </w:tcPr>
          <w:p w14:paraId="6BE2D5C8" w14:textId="77777777" w:rsidR="00DE0B86" w:rsidRPr="00464BF8" w:rsidRDefault="00DE0B86" w:rsidP="0047610C">
            <w:pPr>
              <w:pStyle w:val="ListParagraph"/>
              <w:numPr>
                <w:ilvl w:val="0"/>
                <w:numId w:val="39"/>
              </w:numPr>
              <w:spacing w:before="40" w:after="40" w:line="240" w:lineRule="auto"/>
              <w:ind w:left="876" w:hanging="180"/>
              <w:rPr>
                <w:rFonts w:eastAsia="MS Gothic" w:cstheme="minorHAnsi"/>
                <w:sz w:val="20"/>
              </w:rPr>
            </w:pPr>
            <w:r w:rsidRPr="00464BF8">
              <w:rPr>
                <w:rFonts w:cstheme="minorHAnsi"/>
                <w:sz w:val="20"/>
              </w:rPr>
              <w:t>The clinical criteria (e.g., SUD diagnoses) that qualify a beneficiary for the demonstration</w:t>
            </w:r>
          </w:p>
        </w:tc>
        <w:tc>
          <w:tcPr>
            <w:tcW w:w="1440" w:type="dxa"/>
            <w:tcBorders>
              <w:top w:val="single" w:sz="4" w:space="0" w:color="DDE0E3" w:themeColor="accent3" w:themeTint="33"/>
              <w:bottom w:val="single" w:sz="4" w:space="0" w:color="DDE0E3" w:themeColor="accent3" w:themeTint="33"/>
            </w:tcBorders>
            <w:shd w:val="clear" w:color="auto" w:fill="auto"/>
          </w:tcPr>
          <w:p w14:paraId="78305BBB" w14:textId="22D8C823" w:rsidR="00DE0B86" w:rsidRPr="00A34958" w:rsidRDefault="00883D8C" w:rsidP="0047610C">
            <w:pPr>
              <w:spacing w:before="40" w:after="40"/>
              <w:rPr>
                <w:rFonts w:cstheme="minorHAnsi"/>
                <w:sz w:val="20"/>
              </w:rPr>
            </w:pPr>
            <w:r w:rsidRPr="00A34958">
              <w:rPr>
                <w:rFonts w:cstheme="minorHAnsi"/>
                <w:sz w:val="20"/>
              </w:rPr>
              <w:t>X</w:t>
            </w:r>
          </w:p>
        </w:tc>
        <w:tc>
          <w:tcPr>
            <w:tcW w:w="1710" w:type="dxa"/>
            <w:tcBorders>
              <w:top w:val="single" w:sz="4" w:space="0" w:color="DDE0E3" w:themeColor="accent3" w:themeTint="33"/>
              <w:bottom w:val="single" w:sz="4" w:space="0" w:color="DDE0E3" w:themeColor="accent3" w:themeTint="33"/>
            </w:tcBorders>
            <w:shd w:val="clear" w:color="auto" w:fill="auto"/>
          </w:tcPr>
          <w:p w14:paraId="723BFB5C" w14:textId="77777777" w:rsidR="00DE0B86" w:rsidRPr="00A34958" w:rsidRDefault="0047610C" w:rsidP="0047610C">
            <w:pPr>
              <w:spacing w:before="40" w:after="40"/>
              <w:rPr>
                <w:rFonts w:cstheme="minorHAnsi"/>
                <w:i/>
                <w:sz w:val="20"/>
              </w:rPr>
            </w:pPr>
            <w:r w:rsidRPr="00A34958">
              <w:rPr>
                <w:rFonts w:cstheme="minorHAnsi"/>
                <w:i/>
                <w:sz w:val="20"/>
              </w:rPr>
              <w:t xml:space="preserve"> </w:t>
            </w:r>
          </w:p>
        </w:tc>
        <w:tc>
          <w:tcPr>
            <w:tcW w:w="4860" w:type="dxa"/>
            <w:tcBorders>
              <w:top w:val="single" w:sz="4" w:space="0" w:color="DDE0E3" w:themeColor="accent3" w:themeTint="33"/>
              <w:bottom w:val="single" w:sz="4" w:space="0" w:color="DDE0E3" w:themeColor="accent3" w:themeTint="33"/>
            </w:tcBorders>
          </w:tcPr>
          <w:p w14:paraId="0226DDF4" w14:textId="77777777" w:rsidR="00DE0B86" w:rsidRPr="00A34958" w:rsidRDefault="00DE0B86" w:rsidP="0047610C">
            <w:pPr>
              <w:spacing w:before="40" w:after="40"/>
              <w:ind w:right="-18"/>
              <w:rPr>
                <w:rFonts w:cstheme="minorHAnsi"/>
                <w:i/>
                <w:sz w:val="20"/>
              </w:rPr>
            </w:pPr>
          </w:p>
        </w:tc>
      </w:tr>
      <w:tr w:rsidR="00DE0B86" w:rsidRPr="00CA5CFA" w14:paraId="4AD28A0A" w14:textId="77777777" w:rsidTr="007519F4">
        <w:trPr>
          <w:cantSplit/>
          <w:trHeight w:val="233"/>
        </w:trPr>
        <w:tc>
          <w:tcPr>
            <w:tcW w:w="4945" w:type="dxa"/>
            <w:tcBorders>
              <w:top w:val="single" w:sz="4" w:space="0" w:color="DDE0E3" w:themeColor="accent3" w:themeTint="33"/>
              <w:left w:val="single" w:sz="4" w:space="0" w:color="auto"/>
              <w:bottom w:val="single" w:sz="4" w:space="0" w:color="DDE0E3" w:themeColor="accent3" w:themeTint="33"/>
            </w:tcBorders>
          </w:tcPr>
          <w:p w14:paraId="1173814D" w14:textId="77777777" w:rsidR="00DE0B86" w:rsidRPr="00464BF8" w:rsidRDefault="00DE0B86" w:rsidP="0047610C">
            <w:pPr>
              <w:spacing w:before="40" w:after="40"/>
              <w:rPr>
                <w:rFonts w:eastAsia="MS Gothic" w:cstheme="minorHAnsi"/>
                <w:sz w:val="20"/>
              </w:rPr>
            </w:pPr>
            <w:r w:rsidRPr="00464BF8">
              <w:rPr>
                <w:rFonts w:cstheme="minorHAnsi"/>
                <w:sz w:val="20"/>
              </w:rPr>
              <w:t>1.2.2 The state expects to make other program changes that may affect metrics related to assessment of need and qualification for SUD services</w:t>
            </w:r>
          </w:p>
        </w:tc>
        <w:tc>
          <w:tcPr>
            <w:tcW w:w="1440" w:type="dxa"/>
            <w:tcBorders>
              <w:top w:val="single" w:sz="4" w:space="0" w:color="DDE0E3" w:themeColor="accent3" w:themeTint="33"/>
              <w:bottom w:val="single" w:sz="4" w:space="0" w:color="DDE0E3" w:themeColor="accent3" w:themeTint="33"/>
            </w:tcBorders>
            <w:shd w:val="clear" w:color="auto" w:fill="auto"/>
          </w:tcPr>
          <w:p w14:paraId="17340F70" w14:textId="3A7CB46F" w:rsidR="00DE0B86" w:rsidRPr="00A34958" w:rsidRDefault="00883D8C" w:rsidP="0047610C">
            <w:pPr>
              <w:spacing w:before="40" w:after="40"/>
              <w:ind w:right="-18"/>
              <w:rPr>
                <w:rFonts w:cstheme="minorHAnsi"/>
                <w:sz w:val="20"/>
              </w:rPr>
            </w:pPr>
            <w:r w:rsidRPr="00A34958">
              <w:rPr>
                <w:rFonts w:cstheme="minorHAnsi"/>
                <w:sz w:val="20"/>
              </w:rPr>
              <w:t>X</w:t>
            </w:r>
          </w:p>
        </w:tc>
        <w:tc>
          <w:tcPr>
            <w:tcW w:w="1710" w:type="dxa"/>
            <w:tcBorders>
              <w:top w:val="single" w:sz="4" w:space="0" w:color="DDE0E3" w:themeColor="accent3" w:themeTint="33"/>
              <w:bottom w:val="single" w:sz="4" w:space="0" w:color="DDE0E3" w:themeColor="accent3" w:themeTint="33"/>
            </w:tcBorders>
            <w:shd w:val="clear" w:color="auto" w:fill="auto"/>
          </w:tcPr>
          <w:p w14:paraId="4340F276" w14:textId="77777777" w:rsidR="00DE0B86" w:rsidRPr="00A34958" w:rsidRDefault="0047610C" w:rsidP="0047610C">
            <w:pPr>
              <w:spacing w:before="40" w:after="40"/>
              <w:ind w:right="-18"/>
              <w:rPr>
                <w:rFonts w:cstheme="minorHAnsi"/>
                <w:i/>
                <w:sz w:val="20"/>
              </w:rPr>
            </w:pPr>
            <w:r w:rsidRPr="00A34958">
              <w:rPr>
                <w:rFonts w:cstheme="minorHAnsi"/>
                <w:i/>
                <w:sz w:val="20"/>
              </w:rPr>
              <w:t xml:space="preserve"> </w:t>
            </w:r>
          </w:p>
        </w:tc>
        <w:tc>
          <w:tcPr>
            <w:tcW w:w="4860" w:type="dxa"/>
            <w:tcBorders>
              <w:top w:val="single" w:sz="4" w:space="0" w:color="DDE0E3" w:themeColor="accent3" w:themeTint="33"/>
              <w:bottom w:val="single" w:sz="4" w:space="0" w:color="DDE0E3" w:themeColor="accent3" w:themeTint="33"/>
              <w:right w:val="single" w:sz="4" w:space="0" w:color="auto"/>
            </w:tcBorders>
          </w:tcPr>
          <w:p w14:paraId="2DA26A3E" w14:textId="77777777" w:rsidR="00DE0B86" w:rsidRPr="00A34958" w:rsidRDefault="00DE0B86" w:rsidP="0047610C">
            <w:pPr>
              <w:spacing w:before="40" w:after="40"/>
              <w:ind w:right="-18"/>
              <w:rPr>
                <w:rFonts w:cstheme="minorHAnsi"/>
                <w:i/>
                <w:sz w:val="20"/>
              </w:rPr>
            </w:pPr>
          </w:p>
        </w:tc>
      </w:tr>
      <w:tr w:rsidR="00DE0B86" w:rsidRPr="00CA5CFA" w14:paraId="36767A39" w14:textId="77777777" w:rsidTr="0030710E">
        <w:trPr>
          <w:cantSplit/>
          <w:trHeight w:val="220"/>
        </w:trPr>
        <w:tc>
          <w:tcPr>
            <w:tcW w:w="12955" w:type="dxa"/>
            <w:gridSpan w:val="4"/>
            <w:tcBorders>
              <w:top w:val="single" w:sz="4" w:space="0" w:color="DDE0E3" w:themeColor="accent3" w:themeTint="33"/>
              <w:bottom w:val="single" w:sz="4" w:space="0" w:color="DDE0E3" w:themeColor="accent3" w:themeTint="33"/>
            </w:tcBorders>
            <w:shd w:val="clear" w:color="auto" w:fill="D9D9D9"/>
          </w:tcPr>
          <w:p w14:paraId="0A068059" w14:textId="77777777" w:rsidR="00DE0B86" w:rsidRPr="00464BF8" w:rsidRDefault="00DE0B86" w:rsidP="00464BF8">
            <w:pPr>
              <w:pageBreakBefore/>
              <w:rPr>
                <w:rFonts w:cstheme="minorHAnsi"/>
                <w:b/>
                <w:i/>
                <w:color w:val="000000" w:themeColor="text1"/>
                <w:sz w:val="20"/>
              </w:rPr>
            </w:pPr>
            <w:r w:rsidRPr="00464BF8">
              <w:rPr>
                <w:rFonts w:cstheme="minorHAnsi"/>
                <w:b/>
                <w:color w:val="000000" w:themeColor="text1"/>
                <w:sz w:val="20"/>
              </w:rPr>
              <w:lastRenderedPageBreak/>
              <w:t>2. Access to Critical Levels of Care for OUD and other SUDs (Milestone 1)</w:t>
            </w:r>
          </w:p>
        </w:tc>
      </w:tr>
      <w:tr w:rsidR="00DE0B86" w:rsidRPr="00CA5CFA" w14:paraId="5FDF8A24" w14:textId="77777777" w:rsidTr="00757B4B">
        <w:trPr>
          <w:cantSplit/>
          <w:trHeight w:val="220"/>
        </w:trPr>
        <w:tc>
          <w:tcPr>
            <w:tcW w:w="12955" w:type="dxa"/>
            <w:gridSpan w:val="4"/>
            <w:tcBorders>
              <w:top w:val="single" w:sz="4" w:space="0" w:color="DDE0E3" w:themeColor="accent3" w:themeTint="33"/>
            </w:tcBorders>
            <w:shd w:val="clear" w:color="auto" w:fill="F2F2F2"/>
          </w:tcPr>
          <w:p w14:paraId="7A3BB6C5" w14:textId="77777777" w:rsidR="00DE0B86" w:rsidRPr="00464BF8" w:rsidRDefault="00DE0B86" w:rsidP="00CA5CFA">
            <w:pPr>
              <w:rPr>
                <w:rFonts w:cstheme="minorHAnsi"/>
                <w:b/>
                <w:sz w:val="20"/>
              </w:rPr>
            </w:pPr>
            <w:r w:rsidRPr="00464BF8">
              <w:rPr>
                <w:rFonts w:cstheme="minorHAnsi"/>
                <w:b/>
                <w:sz w:val="20"/>
              </w:rPr>
              <w:t>2.1 Metric trends</w:t>
            </w:r>
          </w:p>
        </w:tc>
      </w:tr>
      <w:tr w:rsidR="00396406" w:rsidRPr="00CA5CFA" w14:paraId="7E97939E" w14:textId="77777777" w:rsidTr="00CC2FC2">
        <w:trPr>
          <w:cantSplit/>
          <w:trHeight w:val="220"/>
        </w:trPr>
        <w:tc>
          <w:tcPr>
            <w:tcW w:w="4945" w:type="dxa"/>
          </w:tcPr>
          <w:p w14:paraId="1DC37A8C" w14:textId="77777777" w:rsidR="00396406" w:rsidRPr="00464BF8" w:rsidRDefault="00396406" w:rsidP="00396406">
            <w:pPr>
              <w:spacing w:before="40" w:after="40"/>
              <w:rPr>
                <w:rFonts w:cstheme="minorHAnsi"/>
                <w:sz w:val="20"/>
              </w:rPr>
            </w:pPr>
            <w:r w:rsidRPr="00464BF8">
              <w:rPr>
                <w:rFonts w:cstheme="minorHAnsi"/>
                <w:sz w:val="20"/>
              </w:rPr>
              <w:t xml:space="preserve">2.1.1 The state reports the following metric trends, including all changes (+ or -) greater than 2 percent related to </w:t>
            </w:r>
            <w:r>
              <w:rPr>
                <w:rFonts w:cstheme="minorHAnsi"/>
                <w:sz w:val="20"/>
              </w:rPr>
              <w:t>M</w:t>
            </w:r>
            <w:r w:rsidRPr="00464BF8">
              <w:rPr>
                <w:rFonts w:cstheme="minorHAnsi"/>
                <w:sz w:val="20"/>
              </w:rPr>
              <w:t>ilestone 1</w:t>
            </w:r>
          </w:p>
        </w:tc>
        <w:tc>
          <w:tcPr>
            <w:tcW w:w="1440" w:type="dxa"/>
          </w:tcPr>
          <w:p w14:paraId="6F40FCD0" w14:textId="4EC1F31D" w:rsidR="00396406" w:rsidRPr="00A34958" w:rsidRDefault="00396406" w:rsidP="00396406">
            <w:pPr>
              <w:spacing w:before="40" w:after="40"/>
              <w:ind w:right="-18"/>
              <w:rPr>
                <w:rFonts w:cstheme="minorHAnsi"/>
                <w:i/>
                <w:sz w:val="20"/>
              </w:rPr>
            </w:pPr>
            <w:r w:rsidRPr="00A34958">
              <w:rPr>
                <w:rFonts w:cstheme="minorHAnsi"/>
                <w:sz w:val="20"/>
              </w:rPr>
              <w:t xml:space="preserve"> </w:t>
            </w:r>
          </w:p>
        </w:tc>
        <w:tc>
          <w:tcPr>
            <w:tcW w:w="1710" w:type="dxa"/>
          </w:tcPr>
          <w:p w14:paraId="4DAF0A16" w14:textId="65582970" w:rsidR="00396406" w:rsidRDefault="00883D8C" w:rsidP="00396406">
            <w:pPr>
              <w:spacing w:before="40" w:after="40"/>
              <w:ind w:right="-18"/>
              <w:rPr>
                <w:rFonts w:cstheme="minorHAnsi"/>
                <w:sz w:val="20"/>
              </w:rPr>
            </w:pPr>
            <w:r w:rsidRPr="00A34958">
              <w:rPr>
                <w:rFonts w:cstheme="minorHAnsi"/>
                <w:sz w:val="20"/>
              </w:rPr>
              <w:t>6-12</w:t>
            </w:r>
          </w:p>
          <w:p w14:paraId="2B2F9AFE" w14:textId="78DD73DD" w:rsidR="00610C1A" w:rsidRPr="00A34958" w:rsidRDefault="00610C1A" w:rsidP="00396406">
            <w:pPr>
              <w:spacing w:before="40" w:after="40"/>
              <w:ind w:right="-18"/>
              <w:rPr>
                <w:rFonts w:cstheme="minorHAnsi"/>
                <w:sz w:val="20"/>
              </w:rPr>
            </w:pPr>
          </w:p>
        </w:tc>
        <w:tc>
          <w:tcPr>
            <w:tcW w:w="4860" w:type="dxa"/>
          </w:tcPr>
          <w:p w14:paraId="0BD63DC2" w14:textId="094E3D90" w:rsidR="00A46EFA" w:rsidRPr="00714F53" w:rsidRDefault="00A46EFA" w:rsidP="00A46EFA">
            <w:pPr>
              <w:rPr>
                <w:rFonts w:cstheme="minorHAnsi"/>
                <w:sz w:val="20"/>
              </w:rPr>
            </w:pPr>
            <w:r w:rsidRPr="00714F53">
              <w:rPr>
                <w:rFonts w:cstheme="minorHAnsi"/>
                <w:sz w:val="20"/>
              </w:rPr>
              <w:t xml:space="preserve">Metric 6 - Any SUD </w:t>
            </w:r>
            <w:proofErr w:type="spellStart"/>
            <w:r w:rsidRPr="00714F53">
              <w:rPr>
                <w:rFonts w:cstheme="minorHAnsi"/>
                <w:sz w:val="20"/>
              </w:rPr>
              <w:t>Tx</w:t>
            </w:r>
            <w:proofErr w:type="spellEnd"/>
            <w:r w:rsidRPr="00714F53">
              <w:rPr>
                <w:rFonts w:cstheme="minorHAnsi"/>
                <w:sz w:val="20"/>
              </w:rPr>
              <w:t xml:space="preserve"> - </w:t>
            </w:r>
            <w:r w:rsidRPr="00A34958">
              <w:rPr>
                <w:rFonts w:cstheme="minorHAnsi"/>
                <w:sz w:val="20"/>
              </w:rPr>
              <w:t>During this reporting period</w:t>
            </w:r>
            <w:r>
              <w:rPr>
                <w:rFonts w:cstheme="minorHAnsi"/>
                <w:sz w:val="20"/>
              </w:rPr>
              <w:t xml:space="preserve"> for</w:t>
            </w:r>
            <w:r w:rsidRPr="00A34958">
              <w:rPr>
                <w:rFonts w:cstheme="minorHAnsi"/>
                <w:sz w:val="20"/>
              </w:rPr>
              <w:t xml:space="preserve"> metric</w:t>
            </w:r>
            <w:r>
              <w:rPr>
                <w:rFonts w:cstheme="minorHAnsi"/>
                <w:sz w:val="20"/>
              </w:rPr>
              <w:t xml:space="preserve"> 6 the numerator increased by 1600 recipients for a 7.06% increase. </w:t>
            </w:r>
            <w:r w:rsidRPr="00714F53">
              <w:rPr>
                <w:rFonts w:cstheme="minorHAnsi"/>
                <w:sz w:val="20"/>
              </w:rPr>
              <w:t>Factors contributing to this increase in percent change is the result of data pull logic modifications related to date of service used for inclusion in reporting period.</w:t>
            </w:r>
          </w:p>
          <w:p w14:paraId="5A59ACED" w14:textId="2140CD86" w:rsidR="00A46EFA" w:rsidRPr="00714F53" w:rsidRDefault="00A46EFA" w:rsidP="00C81555">
            <w:pPr>
              <w:ind w:right="-18"/>
              <w:rPr>
                <w:rFonts w:cstheme="minorHAnsi"/>
                <w:sz w:val="20"/>
              </w:rPr>
            </w:pPr>
          </w:p>
          <w:p w14:paraId="795D00C5" w14:textId="2491B303" w:rsidR="00C81555" w:rsidRPr="00714F53" w:rsidRDefault="00C81555" w:rsidP="00C81555">
            <w:pPr>
              <w:ind w:right="-18"/>
              <w:rPr>
                <w:rFonts w:cstheme="minorHAnsi"/>
                <w:sz w:val="20"/>
              </w:rPr>
            </w:pPr>
            <w:r w:rsidRPr="00714F53">
              <w:rPr>
                <w:rFonts w:cstheme="minorHAnsi"/>
                <w:sz w:val="20"/>
              </w:rPr>
              <w:t xml:space="preserve">Metric 7 – ASAM 0.5 (Early Intervention) is not currently covered by Medicaid, contributing to the extremely low number of persons receiving this service.  </w:t>
            </w:r>
            <w:proofErr w:type="gramStart"/>
            <w:r w:rsidRPr="00714F53">
              <w:rPr>
                <w:rFonts w:cstheme="minorHAnsi"/>
                <w:sz w:val="20"/>
              </w:rPr>
              <w:t xml:space="preserve">Although there is a positive percent change of </w:t>
            </w:r>
            <w:r w:rsidR="006252C6" w:rsidRPr="00714F53">
              <w:rPr>
                <w:rFonts w:cstheme="minorHAnsi"/>
                <w:sz w:val="20"/>
              </w:rPr>
              <w:t>100</w:t>
            </w:r>
            <w:r w:rsidRPr="00714F53">
              <w:rPr>
                <w:rFonts w:cstheme="minorHAnsi"/>
                <w:sz w:val="20"/>
              </w:rPr>
              <w:t xml:space="preserve">%, there were only </w:t>
            </w:r>
            <w:r w:rsidR="006252C6" w:rsidRPr="00714F53">
              <w:rPr>
                <w:rFonts w:cstheme="minorHAnsi"/>
                <w:sz w:val="20"/>
              </w:rPr>
              <w:t>5</w:t>
            </w:r>
            <w:r w:rsidRPr="00714F53">
              <w:rPr>
                <w:rFonts w:cstheme="minorHAnsi"/>
                <w:sz w:val="20"/>
              </w:rPr>
              <w:t xml:space="preserve"> additional people that received 0.5 services versus three people last quarter.</w:t>
            </w:r>
            <w:proofErr w:type="gramEnd"/>
            <w:r w:rsidRPr="00714F53">
              <w:rPr>
                <w:rFonts w:cstheme="minorHAnsi"/>
                <w:sz w:val="20"/>
              </w:rPr>
              <w:t xml:space="preserve">  </w:t>
            </w:r>
          </w:p>
          <w:p w14:paraId="301CD604" w14:textId="0F041E48" w:rsidR="00C81555" w:rsidRPr="00714F53" w:rsidRDefault="00C81555" w:rsidP="00C81555">
            <w:pPr>
              <w:ind w:right="-18"/>
              <w:rPr>
                <w:rFonts w:cstheme="minorHAnsi"/>
                <w:sz w:val="20"/>
              </w:rPr>
            </w:pPr>
          </w:p>
          <w:p w14:paraId="14ECD115" w14:textId="4575F7A1" w:rsidR="006252C6" w:rsidRPr="00714F53" w:rsidRDefault="00C81555" w:rsidP="006252C6">
            <w:pPr>
              <w:rPr>
                <w:rFonts w:cstheme="minorHAnsi"/>
                <w:sz w:val="20"/>
              </w:rPr>
            </w:pPr>
            <w:r w:rsidRPr="00714F53">
              <w:rPr>
                <w:rFonts w:cstheme="minorHAnsi"/>
                <w:sz w:val="20"/>
              </w:rPr>
              <w:t xml:space="preserve">Metric 8 – For outpatient services during this quarter, there was an increase of </w:t>
            </w:r>
            <w:r w:rsidR="006252C6" w:rsidRPr="00714F53">
              <w:rPr>
                <w:rFonts w:cstheme="minorHAnsi"/>
                <w:sz w:val="20"/>
              </w:rPr>
              <w:t>3113</w:t>
            </w:r>
            <w:r w:rsidRPr="00714F53">
              <w:rPr>
                <w:rFonts w:cstheme="minorHAnsi"/>
                <w:sz w:val="20"/>
              </w:rPr>
              <w:t xml:space="preserve"> members corresponding to a </w:t>
            </w:r>
            <w:r w:rsidR="006252C6" w:rsidRPr="00714F53">
              <w:rPr>
                <w:rFonts w:cstheme="minorHAnsi"/>
                <w:sz w:val="20"/>
              </w:rPr>
              <w:t>45.29</w:t>
            </w:r>
            <w:r w:rsidRPr="00714F53">
              <w:rPr>
                <w:rFonts w:cstheme="minorHAnsi"/>
                <w:sz w:val="20"/>
              </w:rPr>
              <w:t xml:space="preserve">% percent of change. </w:t>
            </w:r>
            <w:r w:rsidR="006252C6" w:rsidRPr="00714F53">
              <w:rPr>
                <w:rFonts w:cstheme="minorHAnsi"/>
                <w:sz w:val="20"/>
              </w:rPr>
              <w:t>The increase seen in percent change is the result of data pull logic modifications related to our same provider deviation, priority assignment for metrics 7-12, and data of service used for inclusion in reporting period.</w:t>
            </w:r>
          </w:p>
          <w:p w14:paraId="290A4A7A" w14:textId="53EADACA" w:rsidR="00C81555" w:rsidRPr="00714F53" w:rsidRDefault="006252C6" w:rsidP="00C81555">
            <w:pPr>
              <w:ind w:right="-18"/>
              <w:rPr>
                <w:rFonts w:cstheme="minorHAnsi"/>
                <w:sz w:val="20"/>
              </w:rPr>
            </w:pPr>
            <w:r w:rsidRPr="00714F53" w:rsidDel="006252C6">
              <w:rPr>
                <w:rFonts w:cstheme="minorHAnsi"/>
                <w:sz w:val="20"/>
              </w:rPr>
              <w:t xml:space="preserve"> </w:t>
            </w:r>
          </w:p>
          <w:p w14:paraId="3F8F2972" w14:textId="77777777" w:rsidR="00610C1A" w:rsidRDefault="00C81555" w:rsidP="00714F53">
            <w:pPr>
              <w:rPr>
                <w:rFonts w:cstheme="minorHAnsi"/>
                <w:sz w:val="20"/>
              </w:rPr>
            </w:pPr>
            <w:r w:rsidRPr="00714F53">
              <w:rPr>
                <w:rFonts w:cstheme="minorHAnsi"/>
                <w:sz w:val="20"/>
              </w:rPr>
              <w:t xml:space="preserve">Metric 11 – For Withdrawal Management services, the numerator increased by </w:t>
            </w:r>
            <w:r w:rsidR="008C372F" w:rsidRPr="00714F53">
              <w:rPr>
                <w:rFonts w:cstheme="minorHAnsi"/>
                <w:sz w:val="20"/>
              </w:rPr>
              <w:t>75</w:t>
            </w:r>
            <w:r w:rsidRPr="00714F53">
              <w:rPr>
                <w:rFonts w:cstheme="minorHAnsi"/>
                <w:sz w:val="20"/>
              </w:rPr>
              <w:t xml:space="preserve"> recipients for a </w:t>
            </w:r>
            <w:r w:rsidR="008C372F" w:rsidRPr="00714F53">
              <w:rPr>
                <w:rFonts w:cstheme="minorHAnsi"/>
                <w:sz w:val="20"/>
              </w:rPr>
              <w:t>7.72</w:t>
            </w:r>
            <w:r w:rsidRPr="00714F53">
              <w:rPr>
                <w:rFonts w:cstheme="minorHAnsi"/>
                <w:sz w:val="20"/>
              </w:rPr>
              <w:t>% percent of change increase</w:t>
            </w:r>
            <w:r w:rsidR="00BA78D7" w:rsidRPr="00714F53">
              <w:rPr>
                <w:rFonts w:cstheme="minorHAnsi"/>
                <w:sz w:val="20"/>
              </w:rPr>
              <w:t>. This</w:t>
            </w:r>
            <w:r w:rsidR="008C372F" w:rsidRPr="00714F53">
              <w:rPr>
                <w:rFonts w:cstheme="minorHAnsi"/>
                <w:sz w:val="20"/>
              </w:rPr>
              <w:t xml:space="preserve"> increase in percent change is the result of data pull logic modifications related to our same provider deviation, priority assignment for metrics 7-12, and data of service used for inclusion in reporting period.</w:t>
            </w:r>
          </w:p>
          <w:p w14:paraId="5C59DD9C" w14:textId="503FEDB5" w:rsidR="00714F53" w:rsidRPr="00A34958" w:rsidRDefault="00714F53" w:rsidP="00714F53">
            <w:pPr>
              <w:rPr>
                <w:rFonts w:cstheme="minorHAnsi"/>
                <w:sz w:val="20"/>
              </w:rPr>
            </w:pPr>
          </w:p>
        </w:tc>
      </w:tr>
      <w:tr w:rsidR="00396406" w:rsidRPr="00CA5CFA" w14:paraId="61C2744C" w14:textId="77777777" w:rsidTr="00CC2FC2">
        <w:trPr>
          <w:cantSplit/>
          <w:trHeight w:val="220"/>
        </w:trPr>
        <w:tc>
          <w:tcPr>
            <w:tcW w:w="12955" w:type="dxa"/>
            <w:gridSpan w:val="4"/>
            <w:shd w:val="clear" w:color="auto" w:fill="F2F2F2"/>
          </w:tcPr>
          <w:p w14:paraId="18070E76" w14:textId="493F9C90" w:rsidR="00396406" w:rsidRPr="00464BF8" w:rsidRDefault="00396406" w:rsidP="00396406">
            <w:pPr>
              <w:ind w:right="-18"/>
              <w:rPr>
                <w:rFonts w:cstheme="minorHAnsi"/>
                <w:b/>
                <w:sz w:val="20"/>
              </w:rPr>
            </w:pPr>
            <w:r w:rsidRPr="00464BF8">
              <w:rPr>
                <w:rFonts w:cstheme="minorHAnsi"/>
                <w:b/>
                <w:sz w:val="20"/>
              </w:rPr>
              <w:lastRenderedPageBreak/>
              <w:t>2.2 Implementation update</w:t>
            </w:r>
          </w:p>
        </w:tc>
      </w:tr>
      <w:tr w:rsidR="00396406" w:rsidRPr="00CA5CFA" w14:paraId="6C3C10B3" w14:textId="77777777" w:rsidTr="00CC2FC2">
        <w:trPr>
          <w:cantSplit/>
          <w:trHeight w:val="220"/>
        </w:trPr>
        <w:tc>
          <w:tcPr>
            <w:tcW w:w="4945" w:type="dxa"/>
          </w:tcPr>
          <w:p w14:paraId="7BF4609F" w14:textId="77777777" w:rsidR="00396406" w:rsidRPr="00464BF8" w:rsidRDefault="00396406" w:rsidP="00396406">
            <w:pPr>
              <w:spacing w:before="40" w:after="40"/>
              <w:rPr>
                <w:rFonts w:cstheme="minorHAnsi"/>
                <w:sz w:val="20"/>
              </w:rPr>
            </w:pPr>
            <w:r w:rsidRPr="00464BF8">
              <w:rPr>
                <w:rFonts w:cstheme="minorHAnsi"/>
                <w:sz w:val="20"/>
              </w:rPr>
              <w:lastRenderedPageBreak/>
              <w:t xml:space="preserve">2.2.1 Compared to the demonstration design and operational details, the state expects to make the following changes to: </w:t>
            </w:r>
          </w:p>
          <w:p w14:paraId="692BABDF" w14:textId="77777777" w:rsidR="00396406" w:rsidRPr="00E60D72" w:rsidRDefault="00396406" w:rsidP="00396406">
            <w:pPr>
              <w:pStyle w:val="ListParagraph"/>
              <w:numPr>
                <w:ilvl w:val="0"/>
                <w:numId w:val="40"/>
              </w:numPr>
              <w:spacing w:before="40" w:after="40" w:line="240" w:lineRule="auto"/>
              <w:ind w:left="876" w:hanging="180"/>
              <w:rPr>
                <w:rFonts w:cstheme="minorHAnsi"/>
                <w:sz w:val="20"/>
              </w:rPr>
            </w:pPr>
            <w:r w:rsidRPr="00464BF8">
              <w:rPr>
                <w:rFonts w:cstheme="minorHAnsi"/>
                <w:sz w:val="20"/>
              </w:rPr>
              <w:t>Planned activities to improve access to SUD treatment services across the continuum of care for Medicaid beneficiaries (e.g. outpatient services, intensive outpatient services, medication</w:t>
            </w:r>
            <w:r>
              <w:rPr>
                <w:rFonts w:cstheme="minorHAnsi"/>
                <w:sz w:val="20"/>
              </w:rPr>
              <w:t>-</w:t>
            </w:r>
            <w:r w:rsidRPr="00464BF8">
              <w:rPr>
                <w:rFonts w:cstheme="minorHAnsi"/>
                <w:sz w:val="20"/>
              </w:rPr>
              <w:t>assisted treatment, services in intensive residential and inpatient settings, medically supervised withdrawal management)</w:t>
            </w:r>
          </w:p>
        </w:tc>
        <w:tc>
          <w:tcPr>
            <w:tcW w:w="1440" w:type="dxa"/>
            <w:shd w:val="clear" w:color="auto" w:fill="auto"/>
          </w:tcPr>
          <w:p w14:paraId="4B6D6A72" w14:textId="77777777" w:rsidR="00396406" w:rsidRPr="00A34958" w:rsidRDefault="00396406" w:rsidP="00396406">
            <w:pPr>
              <w:spacing w:before="40" w:after="40"/>
              <w:ind w:right="-18"/>
              <w:rPr>
                <w:rFonts w:cstheme="minorHAnsi"/>
                <w:iCs/>
                <w:sz w:val="20"/>
              </w:rPr>
            </w:pPr>
            <w:r w:rsidRPr="00A34958">
              <w:rPr>
                <w:rFonts w:cstheme="minorHAnsi"/>
                <w:iCs/>
                <w:sz w:val="20"/>
              </w:rPr>
              <w:t xml:space="preserve"> </w:t>
            </w:r>
          </w:p>
        </w:tc>
        <w:tc>
          <w:tcPr>
            <w:tcW w:w="1710" w:type="dxa"/>
            <w:shd w:val="clear" w:color="auto" w:fill="D9D9D9"/>
          </w:tcPr>
          <w:p w14:paraId="3F99687D" w14:textId="77777777" w:rsidR="00396406" w:rsidRPr="00A34958" w:rsidRDefault="00396406" w:rsidP="00396406">
            <w:pPr>
              <w:spacing w:before="40" w:after="40"/>
              <w:ind w:right="-18"/>
              <w:rPr>
                <w:rFonts w:cstheme="minorHAnsi"/>
                <w:i/>
                <w:sz w:val="20"/>
              </w:rPr>
            </w:pPr>
            <w:r w:rsidRPr="00A34958">
              <w:rPr>
                <w:rFonts w:cstheme="minorHAnsi"/>
                <w:iCs/>
                <w:sz w:val="20"/>
              </w:rPr>
              <w:t xml:space="preserve"> </w:t>
            </w:r>
          </w:p>
        </w:tc>
        <w:tc>
          <w:tcPr>
            <w:tcW w:w="4860" w:type="dxa"/>
          </w:tcPr>
          <w:p w14:paraId="0E0E28ED" w14:textId="239CAC91" w:rsidR="00C81555" w:rsidRPr="00A34958" w:rsidRDefault="00C81555" w:rsidP="00C81555">
            <w:pPr>
              <w:spacing w:before="40" w:after="40"/>
              <w:ind w:right="-18"/>
              <w:rPr>
                <w:rFonts w:cstheme="minorHAnsi"/>
                <w:sz w:val="20"/>
              </w:rPr>
            </w:pPr>
            <w:r w:rsidRPr="00A34958">
              <w:rPr>
                <w:rFonts w:cstheme="minorHAnsi"/>
                <w:sz w:val="20"/>
              </w:rPr>
              <w:t>In DY4 Q</w:t>
            </w:r>
            <w:r w:rsidR="00DE6175">
              <w:rPr>
                <w:rFonts w:cstheme="minorHAnsi"/>
                <w:sz w:val="20"/>
              </w:rPr>
              <w:t>3</w:t>
            </w:r>
            <w:r w:rsidRPr="00A34958">
              <w:rPr>
                <w:rFonts w:cstheme="minorHAnsi"/>
                <w:sz w:val="20"/>
              </w:rPr>
              <w:t xml:space="preserve">, despite the COVID pandemic, OBH continued to implement ongoing workforce development initiatives to provide virtual training and education on </w:t>
            </w:r>
            <w:r>
              <w:rPr>
                <w:rFonts w:cstheme="minorHAnsi"/>
                <w:sz w:val="20"/>
              </w:rPr>
              <w:t>Medications for Opioid Use Disorder (</w:t>
            </w:r>
            <w:r w:rsidRPr="00A34958">
              <w:rPr>
                <w:rFonts w:cstheme="minorHAnsi"/>
                <w:sz w:val="20"/>
              </w:rPr>
              <w:t>M</w:t>
            </w:r>
            <w:r>
              <w:rPr>
                <w:rFonts w:cstheme="minorHAnsi"/>
                <w:sz w:val="20"/>
              </w:rPr>
              <w:t>OUD)</w:t>
            </w:r>
            <w:r w:rsidRPr="00A34958">
              <w:rPr>
                <w:rFonts w:cstheme="minorHAnsi"/>
                <w:sz w:val="20"/>
              </w:rPr>
              <w:t xml:space="preserve"> to physicians and clinicians statewide. Louisiana has continued partnership with Tulane University to offer the Extension for Community Health Outcomes (ECHO) Project, which is a virtual online professional development series for educators, University Fellow Programs, physicians, clinicians, BH providers and private practitioners. OBH also partnered with the Louisiana Association for Substance Abuse Counselors and Trainer (LASACT) to educate stakeholders and the community on the efficacy of M</w:t>
            </w:r>
            <w:r>
              <w:rPr>
                <w:rFonts w:cstheme="minorHAnsi"/>
                <w:sz w:val="20"/>
              </w:rPr>
              <w:t>OUD</w:t>
            </w:r>
            <w:r w:rsidRPr="00A34958">
              <w:rPr>
                <w:rFonts w:cstheme="minorHAnsi"/>
                <w:sz w:val="20"/>
              </w:rPr>
              <w:t xml:space="preserve"> and associated stigma</w:t>
            </w:r>
            <w:r w:rsidR="00DE6175">
              <w:rPr>
                <w:rFonts w:cstheme="minorHAnsi"/>
                <w:sz w:val="20"/>
              </w:rPr>
              <w:t>, which was held July 25-</w:t>
            </w:r>
            <w:proofErr w:type="gramStart"/>
            <w:r w:rsidR="00DE6175">
              <w:rPr>
                <w:rFonts w:cstheme="minorHAnsi"/>
                <w:sz w:val="20"/>
              </w:rPr>
              <w:t>28</w:t>
            </w:r>
            <w:r w:rsidR="00DE6175" w:rsidRPr="00714F53">
              <w:rPr>
                <w:rFonts w:cstheme="minorHAnsi"/>
                <w:sz w:val="20"/>
                <w:vertAlign w:val="superscript"/>
              </w:rPr>
              <w:t>th</w:t>
            </w:r>
            <w:r w:rsidR="00DE6175">
              <w:rPr>
                <w:rFonts w:cstheme="minorHAnsi"/>
                <w:sz w:val="20"/>
              </w:rPr>
              <w:t xml:space="preserve"> ,</w:t>
            </w:r>
            <w:proofErr w:type="gramEnd"/>
            <w:r w:rsidR="00DE6175">
              <w:rPr>
                <w:rFonts w:cstheme="minorHAnsi"/>
                <w:sz w:val="20"/>
              </w:rPr>
              <w:t xml:space="preserve"> 2021</w:t>
            </w:r>
            <w:r w:rsidRPr="00A34958">
              <w:rPr>
                <w:rFonts w:cstheme="minorHAnsi"/>
                <w:sz w:val="20"/>
              </w:rPr>
              <w:t xml:space="preserve">. OBH </w:t>
            </w:r>
            <w:r w:rsidR="00DE6175">
              <w:rPr>
                <w:rFonts w:cstheme="minorHAnsi"/>
                <w:sz w:val="20"/>
              </w:rPr>
              <w:t xml:space="preserve">is </w:t>
            </w:r>
            <w:proofErr w:type="gramStart"/>
            <w:r w:rsidR="00DE6175">
              <w:rPr>
                <w:rFonts w:cstheme="minorHAnsi"/>
                <w:sz w:val="20"/>
              </w:rPr>
              <w:t xml:space="preserve">currently </w:t>
            </w:r>
            <w:r>
              <w:rPr>
                <w:rFonts w:cstheme="minorHAnsi"/>
                <w:sz w:val="20"/>
              </w:rPr>
              <w:t xml:space="preserve"> participat</w:t>
            </w:r>
            <w:r w:rsidR="00DE6175">
              <w:rPr>
                <w:rFonts w:cstheme="minorHAnsi"/>
                <w:sz w:val="20"/>
              </w:rPr>
              <w:t>ing</w:t>
            </w:r>
            <w:proofErr w:type="gramEnd"/>
            <w:r w:rsidRPr="00A34958">
              <w:rPr>
                <w:rFonts w:cstheme="minorHAnsi"/>
                <w:sz w:val="20"/>
              </w:rPr>
              <w:t xml:space="preserve"> on the </w:t>
            </w:r>
            <w:r w:rsidR="00DE6175">
              <w:rPr>
                <w:rFonts w:cstheme="minorHAnsi"/>
                <w:sz w:val="20"/>
              </w:rPr>
              <w:t xml:space="preserve">LASACT </w:t>
            </w:r>
            <w:r w:rsidRPr="00A34958">
              <w:rPr>
                <w:rFonts w:cstheme="minorHAnsi"/>
                <w:sz w:val="20"/>
              </w:rPr>
              <w:t>planning committee</w:t>
            </w:r>
            <w:r w:rsidR="00DE6175">
              <w:rPr>
                <w:rFonts w:cstheme="minorHAnsi"/>
                <w:sz w:val="20"/>
              </w:rPr>
              <w:t xml:space="preserve"> for fiscal year 2022 conference and will </w:t>
            </w:r>
            <w:r w:rsidRPr="00A34958">
              <w:rPr>
                <w:rFonts w:cstheme="minorHAnsi"/>
                <w:sz w:val="20"/>
              </w:rPr>
              <w:t>identif</w:t>
            </w:r>
            <w:r w:rsidR="00DE6175">
              <w:rPr>
                <w:rFonts w:cstheme="minorHAnsi"/>
                <w:sz w:val="20"/>
              </w:rPr>
              <w:t>y p</w:t>
            </w:r>
            <w:r w:rsidRPr="00A34958">
              <w:rPr>
                <w:rFonts w:cstheme="minorHAnsi"/>
                <w:sz w:val="20"/>
              </w:rPr>
              <w:t xml:space="preserve">resenters and evidence-based training topics in the areas of opioid use prevention, intervention, treatment and recovery. </w:t>
            </w:r>
          </w:p>
          <w:p w14:paraId="5044D41A" w14:textId="77777777" w:rsidR="00C81555" w:rsidRPr="00A34958" w:rsidRDefault="00C81555" w:rsidP="00C81555">
            <w:pPr>
              <w:spacing w:before="40" w:after="40"/>
              <w:ind w:right="-18"/>
              <w:rPr>
                <w:rFonts w:cstheme="minorHAnsi"/>
                <w:sz w:val="20"/>
              </w:rPr>
            </w:pPr>
          </w:p>
          <w:p w14:paraId="7B89D8A3" w14:textId="5C181B98" w:rsidR="00C81555" w:rsidRPr="00A34958" w:rsidRDefault="00C81555" w:rsidP="00C81555">
            <w:pPr>
              <w:spacing w:before="40" w:after="40"/>
              <w:ind w:right="-18"/>
              <w:rPr>
                <w:rFonts w:cstheme="minorHAnsi"/>
                <w:sz w:val="20"/>
              </w:rPr>
            </w:pPr>
            <w:r w:rsidRPr="00A34958">
              <w:rPr>
                <w:rFonts w:cstheme="minorHAnsi"/>
                <w:sz w:val="20"/>
              </w:rPr>
              <w:t xml:space="preserve">In addition, OBH continued use of outreach mobile teams, which consist of a Licensed Mental Health Professional (LMHP), Nurse and a Peer Support Specialist.  These teams provide education on </w:t>
            </w:r>
            <w:r>
              <w:rPr>
                <w:rFonts w:cstheme="minorHAnsi"/>
                <w:sz w:val="20"/>
              </w:rPr>
              <w:t>MOUD</w:t>
            </w:r>
            <w:r w:rsidRPr="00A34958">
              <w:rPr>
                <w:rFonts w:cstheme="minorHAnsi"/>
                <w:sz w:val="20"/>
              </w:rPr>
              <w:t xml:space="preserve">, </w:t>
            </w:r>
            <w:proofErr w:type="spellStart"/>
            <w:r w:rsidRPr="00A34958">
              <w:rPr>
                <w:rFonts w:cstheme="minorHAnsi"/>
                <w:sz w:val="20"/>
              </w:rPr>
              <w:t>Narcan</w:t>
            </w:r>
            <w:proofErr w:type="spellEnd"/>
            <w:r w:rsidRPr="00A34958">
              <w:rPr>
                <w:rFonts w:cstheme="minorHAnsi"/>
                <w:sz w:val="20"/>
              </w:rPr>
              <w:t xml:space="preserve"> distribution and Screening, Brief Intervention and Referral to M</w:t>
            </w:r>
            <w:r>
              <w:rPr>
                <w:rFonts w:cstheme="minorHAnsi"/>
                <w:sz w:val="20"/>
              </w:rPr>
              <w:t>OUD</w:t>
            </w:r>
            <w:r w:rsidRPr="00A34958">
              <w:rPr>
                <w:rFonts w:cstheme="minorHAnsi"/>
                <w:sz w:val="20"/>
              </w:rPr>
              <w:t xml:space="preserve"> specialty treatment services. D</w:t>
            </w:r>
            <w:r w:rsidRPr="00A34958">
              <w:rPr>
                <w:sz w:val="20"/>
              </w:rPr>
              <w:t xml:space="preserve">ue to COVID, these </w:t>
            </w:r>
            <w:proofErr w:type="gramStart"/>
            <w:r w:rsidRPr="00A34958">
              <w:rPr>
                <w:sz w:val="20"/>
              </w:rPr>
              <w:t>programs temporarily</w:t>
            </w:r>
            <w:proofErr w:type="gramEnd"/>
            <w:r w:rsidRPr="00A34958">
              <w:rPr>
                <w:sz w:val="20"/>
              </w:rPr>
              <w:t xml:space="preserve"> suspended their boots on the ground framework due to the Governor’s stay at home order</w:t>
            </w:r>
            <w:r w:rsidR="00DE6175">
              <w:rPr>
                <w:sz w:val="20"/>
              </w:rPr>
              <w:t>; however,</w:t>
            </w:r>
            <w:r w:rsidRPr="00A34958">
              <w:rPr>
                <w:sz w:val="20"/>
              </w:rPr>
              <w:t xml:space="preserve"> teams implemented other virtual techniques to disseminate information, such as social media.</w:t>
            </w:r>
          </w:p>
          <w:p w14:paraId="7248D455" w14:textId="77777777" w:rsidR="00C81555" w:rsidRPr="00A34958" w:rsidRDefault="00C81555" w:rsidP="00C81555">
            <w:pPr>
              <w:spacing w:before="40" w:after="40"/>
              <w:ind w:right="-18"/>
              <w:rPr>
                <w:rFonts w:cstheme="minorHAnsi"/>
                <w:sz w:val="20"/>
              </w:rPr>
            </w:pPr>
          </w:p>
          <w:p w14:paraId="7B4A4B6A" w14:textId="1ADEEE78" w:rsidR="00396406" w:rsidRPr="00A34958" w:rsidRDefault="00C81555" w:rsidP="00DE6175">
            <w:pPr>
              <w:spacing w:before="40" w:after="40"/>
              <w:ind w:right="-18"/>
              <w:rPr>
                <w:rFonts w:cstheme="minorHAnsi"/>
                <w:sz w:val="20"/>
              </w:rPr>
            </w:pPr>
            <w:r w:rsidRPr="00A34958">
              <w:rPr>
                <w:rFonts w:cstheme="minorHAnsi"/>
                <w:sz w:val="20"/>
              </w:rPr>
              <w:lastRenderedPageBreak/>
              <w:t>OBH has continued efforts and partnerships with Louisiana State University Health Science Center to expand access to M</w:t>
            </w:r>
            <w:r>
              <w:rPr>
                <w:rFonts w:cstheme="minorHAnsi"/>
                <w:sz w:val="20"/>
              </w:rPr>
              <w:t>OUD</w:t>
            </w:r>
            <w:r w:rsidRPr="00A34958">
              <w:rPr>
                <w:rFonts w:cstheme="minorHAnsi"/>
                <w:sz w:val="20"/>
              </w:rPr>
              <w:t xml:space="preserve"> services with Office Based Opioid Treatment (OBOT) Programs. </w:t>
            </w:r>
            <w:r>
              <w:rPr>
                <w:rFonts w:cstheme="minorHAnsi"/>
                <w:sz w:val="20"/>
              </w:rPr>
              <w:t xml:space="preserve">For the </w:t>
            </w:r>
            <w:proofErr w:type="spellStart"/>
            <w:r>
              <w:rPr>
                <w:rFonts w:cstheme="minorHAnsi"/>
                <w:sz w:val="20"/>
              </w:rPr>
              <w:t>LaSOR</w:t>
            </w:r>
            <w:proofErr w:type="spellEnd"/>
            <w:r>
              <w:rPr>
                <w:rFonts w:cstheme="minorHAnsi"/>
                <w:sz w:val="20"/>
              </w:rPr>
              <w:t xml:space="preserve"> 1.0 grant, t</w:t>
            </w:r>
            <w:r w:rsidRPr="00A34958">
              <w:rPr>
                <w:rFonts w:cstheme="minorHAnsi"/>
                <w:sz w:val="20"/>
              </w:rPr>
              <w:t xml:space="preserve">he goal is to enlist </w:t>
            </w:r>
            <w:proofErr w:type="gramStart"/>
            <w:r w:rsidRPr="00A34958">
              <w:rPr>
                <w:rFonts w:cstheme="minorHAnsi"/>
                <w:sz w:val="20"/>
              </w:rPr>
              <w:t>fifty (50)</w:t>
            </w:r>
            <w:proofErr w:type="gramEnd"/>
            <w:r w:rsidRPr="00A34958">
              <w:rPr>
                <w:rFonts w:cstheme="minorHAnsi"/>
                <w:sz w:val="20"/>
              </w:rPr>
              <w:t xml:space="preserve"> new Data Waivered prescribers to provide M</w:t>
            </w:r>
            <w:r>
              <w:rPr>
                <w:rFonts w:cstheme="minorHAnsi"/>
                <w:sz w:val="20"/>
              </w:rPr>
              <w:t>OUD</w:t>
            </w:r>
            <w:r w:rsidRPr="00A34958">
              <w:rPr>
                <w:rFonts w:cstheme="minorHAnsi"/>
                <w:sz w:val="20"/>
              </w:rPr>
              <w:t xml:space="preserve"> services by September 2021.</w:t>
            </w:r>
            <w:r w:rsidR="00DE6175">
              <w:rPr>
                <w:rFonts w:cstheme="minorHAnsi"/>
                <w:sz w:val="20"/>
              </w:rPr>
              <w:t xml:space="preserve"> </w:t>
            </w:r>
            <w:r w:rsidRPr="00A34958">
              <w:rPr>
                <w:rFonts w:cstheme="minorHAnsi"/>
                <w:sz w:val="20"/>
              </w:rPr>
              <w:t xml:space="preserve"> During DY4 Q</w:t>
            </w:r>
            <w:r w:rsidR="00DE6175">
              <w:rPr>
                <w:rFonts w:cstheme="minorHAnsi"/>
                <w:sz w:val="20"/>
              </w:rPr>
              <w:t>3</w:t>
            </w:r>
            <w:r w:rsidRPr="00A34958">
              <w:rPr>
                <w:rFonts w:cstheme="minorHAnsi"/>
                <w:sz w:val="20"/>
              </w:rPr>
              <w:t xml:space="preserve">, there </w:t>
            </w:r>
            <w:r w:rsidR="00DE6175">
              <w:rPr>
                <w:rFonts w:cstheme="minorHAnsi"/>
                <w:sz w:val="20"/>
              </w:rPr>
              <w:t>were</w:t>
            </w:r>
            <w:r w:rsidRPr="00A34958">
              <w:rPr>
                <w:rFonts w:cstheme="minorHAnsi"/>
                <w:sz w:val="20"/>
              </w:rPr>
              <w:t xml:space="preserve"> 4</w:t>
            </w:r>
            <w:r w:rsidR="00DE6175">
              <w:rPr>
                <w:rFonts w:cstheme="minorHAnsi"/>
                <w:sz w:val="20"/>
              </w:rPr>
              <w:t>9</w:t>
            </w:r>
            <w:r w:rsidRPr="00A34958">
              <w:rPr>
                <w:rFonts w:cstheme="minorHAnsi"/>
                <w:sz w:val="20"/>
              </w:rPr>
              <w:t xml:space="preserve"> contracted OBOTs,</w:t>
            </w:r>
            <w:r w:rsidR="00DE6175">
              <w:rPr>
                <w:rFonts w:cstheme="minorHAnsi"/>
                <w:sz w:val="20"/>
              </w:rPr>
              <w:t xml:space="preserve"> </w:t>
            </w:r>
            <w:proofErr w:type="spellStart"/>
            <w:r w:rsidR="00DE6175">
              <w:rPr>
                <w:rFonts w:cstheme="minorHAnsi"/>
                <w:sz w:val="20"/>
              </w:rPr>
              <w:t>LaSOR</w:t>
            </w:r>
            <w:proofErr w:type="spellEnd"/>
            <w:r w:rsidR="00DE6175">
              <w:rPr>
                <w:rFonts w:cstheme="minorHAnsi"/>
                <w:sz w:val="20"/>
              </w:rPr>
              <w:t xml:space="preserve"> 1.0 ended September 29, 2021; however, </w:t>
            </w:r>
            <w:proofErr w:type="spellStart"/>
            <w:r w:rsidR="00DE6175">
              <w:rPr>
                <w:rFonts w:cstheme="minorHAnsi"/>
                <w:sz w:val="20"/>
              </w:rPr>
              <w:t>LaSOR</w:t>
            </w:r>
            <w:proofErr w:type="spellEnd"/>
            <w:r w:rsidR="00DE6175">
              <w:rPr>
                <w:rFonts w:cstheme="minorHAnsi"/>
                <w:sz w:val="20"/>
              </w:rPr>
              <w:t xml:space="preserve"> 2.0 has been operable since </w:t>
            </w:r>
            <w:r w:rsidRPr="00A34958">
              <w:rPr>
                <w:rFonts w:cstheme="minorHAnsi"/>
                <w:sz w:val="20"/>
              </w:rPr>
              <w:t xml:space="preserve"> </w:t>
            </w:r>
          </w:p>
        </w:tc>
      </w:tr>
      <w:tr w:rsidR="00396406" w:rsidRPr="00CA5CFA" w14:paraId="2A1BCEF0" w14:textId="77777777" w:rsidTr="00CC2FC2">
        <w:trPr>
          <w:cantSplit/>
          <w:trHeight w:val="220"/>
        </w:trPr>
        <w:tc>
          <w:tcPr>
            <w:tcW w:w="4945" w:type="dxa"/>
            <w:tcBorders>
              <w:bottom w:val="single" w:sz="4" w:space="0" w:color="DDE0E3" w:themeColor="accent3" w:themeTint="33"/>
            </w:tcBorders>
          </w:tcPr>
          <w:p w14:paraId="57599225" w14:textId="77777777" w:rsidR="00396406" w:rsidRPr="00E60D72" w:rsidRDefault="00396406" w:rsidP="00396406">
            <w:pPr>
              <w:pStyle w:val="ListParagraph"/>
              <w:numPr>
                <w:ilvl w:val="0"/>
                <w:numId w:val="40"/>
              </w:numPr>
              <w:spacing w:before="40" w:after="40" w:line="240" w:lineRule="auto"/>
              <w:ind w:left="876" w:hanging="180"/>
              <w:rPr>
                <w:rFonts w:cstheme="minorHAnsi"/>
                <w:sz w:val="20"/>
              </w:rPr>
            </w:pPr>
            <w:r w:rsidRPr="00464BF8">
              <w:rPr>
                <w:rFonts w:eastAsia="MS Gothic" w:cstheme="minorHAnsi"/>
                <w:sz w:val="20"/>
              </w:rPr>
              <w:lastRenderedPageBreak/>
              <w:t>SUD benefit coverage under the Medicaid state plan or the Expenditure Authority, particularly for residential treatment, medically supervised withdrawal management, and medication</w:t>
            </w:r>
            <w:r>
              <w:rPr>
                <w:rFonts w:eastAsia="MS Gothic" w:cstheme="minorHAnsi"/>
                <w:sz w:val="20"/>
              </w:rPr>
              <w:t>-</w:t>
            </w:r>
            <w:r w:rsidRPr="00464BF8">
              <w:rPr>
                <w:rFonts w:eastAsia="MS Gothic" w:cstheme="minorHAnsi"/>
                <w:sz w:val="20"/>
              </w:rPr>
              <w:t>assisted treatment services provided to individual IMDs</w:t>
            </w:r>
          </w:p>
        </w:tc>
        <w:tc>
          <w:tcPr>
            <w:tcW w:w="1440" w:type="dxa"/>
            <w:tcBorders>
              <w:bottom w:val="single" w:sz="4" w:space="0" w:color="DDE0E3" w:themeColor="accent3" w:themeTint="33"/>
            </w:tcBorders>
            <w:shd w:val="clear" w:color="auto" w:fill="auto"/>
          </w:tcPr>
          <w:p w14:paraId="22487DAB" w14:textId="1976C6EE" w:rsidR="00396406" w:rsidRPr="00A34958" w:rsidRDefault="00920C2C" w:rsidP="00396406">
            <w:pPr>
              <w:spacing w:before="40" w:after="40"/>
              <w:ind w:right="-18"/>
              <w:rPr>
                <w:rFonts w:cstheme="minorHAnsi"/>
                <w:iCs/>
                <w:sz w:val="20"/>
              </w:rPr>
            </w:pPr>
            <w:r>
              <w:rPr>
                <w:rFonts w:cstheme="minorHAnsi"/>
                <w:iCs/>
                <w:sz w:val="20"/>
              </w:rPr>
              <w:t>X</w:t>
            </w:r>
          </w:p>
        </w:tc>
        <w:tc>
          <w:tcPr>
            <w:tcW w:w="1710" w:type="dxa"/>
            <w:tcBorders>
              <w:bottom w:val="single" w:sz="4" w:space="0" w:color="DDE0E3" w:themeColor="accent3" w:themeTint="33"/>
            </w:tcBorders>
            <w:shd w:val="clear" w:color="auto" w:fill="D9D9D9"/>
          </w:tcPr>
          <w:p w14:paraId="5209D5FF" w14:textId="77777777" w:rsidR="00396406" w:rsidRPr="00A34958" w:rsidRDefault="00396406" w:rsidP="006C7977">
            <w:pPr>
              <w:spacing w:line="240" w:lineRule="auto"/>
              <w:ind w:right="-14"/>
              <w:rPr>
                <w:rFonts w:cstheme="minorHAnsi"/>
                <w:i/>
                <w:sz w:val="20"/>
              </w:rPr>
            </w:pPr>
            <w:r w:rsidRPr="00A34958">
              <w:t xml:space="preserve"> </w:t>
            </w:r>
          </w:p>
        </w:tc>
        <w:tc>
          <w:tcPr>
            <w:tcW w:w="4860" w:type="dxa"/>
            <w:tcBorders>
              <w:bottom w:val="single" w:sz="4" w:space="0" w:color="DDE0E3" w:themeColor="accent3" w:themeTint="33"/>
            </w:tcBorders>
          </w:tcPr>
          <w:p w14:paraId="5E637F69" w14:textId="2ABB6CBE" w:rsidR="00396406" w:rsidRPr="00A34958" w:rsidRDefault="00396406" w:rsidP="006C7977">
            <w:pPr>
              <w:spacing w:line="240" w:lineRule="auto"/>
              <w:ind w:right="-14"/>
              <w:rPr>
                <w:rFonts w:cstheme="minorHAnsi"/>
                <w:iCs/>
                <w:sz w:val="20"/>
              </w:rPr>
            </w:pPr>
          </w:p>
        </w:tc>
      </w:tr>
      <w:tr w:rsidR="00396406" w:rsidRPr="00CA5CFA" w14:paraId="4931D9E3" w14:textId="77777777" w:rsidTr="00CC2FC2">
        <w:trPr>
          <w:cantSplit/>
          <w:trHeight w:val="220"/>
        </w:trPr>
        <w:tc>
          <w:tcPr>
            <w:tcW w:w="4945" w:type="dxa"/>
            <w:tcBorders>
              <w:top w:val="single" w:sz="4" w:space="0" w:color="DDE0E3" w:themeColor="accent3" w:themeTint="33"/>
              <w:bottom w:val="single" w:sz="4" w:space="0" w:color="DDE0E3" w:themeColor="accent3" w:themeTint="33"/>
            </w:tcBorders>
          </w:tcPr>
          <w:p w14:paraId="07DEA754" w14:textId="77777777" w:rsidR="00396406" w:rsidRPr="00464BF8" w:rsidRDefault="00396406" w:rsidP="00396406">
            <w:pPr>
              <w:spacing w:before="40" w:after="40"/>
              <w:rPr>
                <w:rFonts w:cstheme="minorHAnsi"/>
                <w:sz w:val="20"/>
              </w:rPr>
            </w:pPr>
            <w:r w:rsidRPr="00464BF8">
              <w:rPr>
                <w:rFonts w:cstheme="minorHAnsi"/>
                <w:sz w:val="20"/>
              </w:rPr>
              <w:t xml:space="preserve">2.2.2 The state expects to make other program changes that may affect metrics related to </w:t>
            </w:r>
            <w:r>
              <w:rPr>
                <w:rFonts w:cstheme="minorHAnsi"/>
                <w:sz w:val="20"/>
              </w:rPr>
              <w:t>M</w:t>
            </w:r>
            <w:r w:rsidRPr="00464BF8">
              <w:rPr>
                <w:rFonts w:cstheme="minorHAnsi"/>
                <w:sz w:val="20"/>
              </w:rPr>
              <w:t>ilestone 1</w:t>
            </w:r>
          </w:p>
        </w:tc>
        <w:tc>
          <w:tcPr>
            <w:tcW w:w="1440" w:type="dxa"/>
            <w:tcBorders>
              <w:top w:val="single" w:sz="4" w:space="0" w:color="DDE0E3" w:themeColor="accent3" w:themeTint="33"/>
              <w:bottom w:val="single" w:sz="4" w:space="0" w:color="DDE0E3" w:themeColor="accent3" w:themeTint="33"/>
            </w:tcBorders>
            <w:shd w:val="clear" w:color="auto" w:fill="auto"/>
          </w:tcPr>
          <w:p w14:paraId="03C608B4" w14:textId="3822528E" w:rsidR="00396406" w:rsidRPr="00A34958" w:rsidRDefault="00883D8C" w:rsidP="00396406">
            <w:pPr>
              <w:spacing w:before="40" w:after="40"/>
              <w:ind w:right="-18"/>
              <w:rPr>
                <w:rFonts w:cstheme="minorHAnsi"/>
                <w:i/>
                <w:sz w:val="20"/>
              </w:rPr>
            </w:pPr>
            <w:r w:rsidRPr="00A34958">
              <w:rPr>
                <w:rFonts w:cstheme="minorHAnsi"/>
                <w:iCs/>
                <w:sz w:val="20"/>
              </w:rPr>
              <w:t>X</w:t>
            </w:r>
          </w:p>
        </w:tc>
        <w:tc>
          <w:tcPr>
            <w:tcW w:w="1710" w:type="dxa"/>
            <w:tcBorders>
              <w:top w:val="single" w:sz="4" w:space="0" w:color="DDE0E3" w:themeColor="accent3" w:themeTint="33"/>
              <w:bottom w:val="single" w:sz="4" w:space="0" w:color="DDE0E3" w:themeColor="accent3" w:themeTint="33"/>
            </w:tcBorders>
            <w:shd w:val="clear" w:color="auto" w:fill="D9D9D9"/>
          </w:tcPr>
          <w:p w14:paraId="5F4883EE" w14:textId="77777777" w:rsidR="00396406" w:rsidRPr="00A34958" w:rsidRDefault="00396406" w:rsidP="00396406">
            <w:pPr>
              <w:spacing w:before="40" w:after="40"/>
              <w:ind w:right="-18"/>
              <w:rPr>
                <w:rFonts w:cstheme="minorHAnsi"/>
                <w:i/>
                <w:sz w:val="20"/>
              </w:rPr>
            </w:pPr>
            <w:r w:rsidRPr="00A34958">
              <w:rPr>
                <w:rFonts w:cstheme="minorHAnsi"/>
                <w:iCs/>
                <w:sz w:val="20"/>
              </w:rPr>
              <w:t xml:space="preserve"> </w:t>
            </w:r>
          </w:p>
        </w:tc>
        <w:tc>
          <w:tcPr>
            <w:tcW w:w="4860" w:type="dxa"/>
            <w:tcBorders>
              <w:top w:val="single" w:sz="4" w:space="0" w:color="DDE0E3" w:themeColor="accent3" w:themeTint="33"/>
              <w:bottom w:val="single" w:sz="4" w:space="0" w:color="DDE0E3" w:themeColor="accent3" w:themeTint="33"/>
            </w:tcBorders>
          </w:tcPr>
          <w:p w14:paraId="7BFA378B" w14:textId="77777777" w:rsidR="00396406" w:rsidRPr="00A34958" w:rsidRDefault="00396406" w:rsidP="00396406">
            <w:pPr>
              <w:spacing w:before="40" w:after="40"/>
              <w:ind w:right="-18"/>
              <w:rPr>
                <w:rFonts w:cstheme="minorHAnsi"/>
                <w:i/>
                <w:sz w:val="20"/>
              </w:rPr>
            </w:pPr>
            <w:r w:rsidRPr="00A34958">
              <w:rPr>
                <w:rFonts w:cstheme="minorHAnsi"/>
                <w:iCs/>
                <w:sz w:val="20"/>
              </w:rPr>
              <w:t xml:space="preserve"> </w:t>
            </w:r>
          </w:p>
        </w:tc>
      </w:tr>
      <w:tr w:rsidR="00396406" w:rsidRPr="00CA5CFA" w14:paraId="1F3FE86C" w14:textId="77777777" w:rsidTr="00CC2FC2">
        <w:trPr>
          <w:cantSplit/>
          <w:trHeight w:val="220"/>
        </w:trPr>
        <w:tc>
          <w:tcPr>
            <w:tcW w:w="12955" w:type="dxa"/>
            <w:gridSpan w:val="4"/>
            <w:tcBorders>
              <w:top w:val="single" w:sz="4" w:space="0" w:color="DDE0E3" w:themeColor="accent3" w:themeTint="33"/>
            </w:tcBorders>
            <w:shd w:val="clear" w:color="auto" w:fill="D9D9D9"/>
          </w:tcPr>
          <w:p w14:paraId="1880C630" w14:textId="77777777" w:rsidR="00396406" w:rsidRPr="00464BF8" w:rsidRDefault="00396406" w:rsidP="00396406">
            <w:pPr>
              <w:pageBreakBefore/>
              <w:rPr>
                <w:rFonts w:cstheme="minorHAnsi"/>
                <w:b/>
                <w:color w:val="000000" w:themeColor="text1"/>
                <w:sz w:val="20"/>
              </w:rPr>
            </w:pPr>
            <w:r w:rsidRPr="00464BF8">
              <w:rPr>
                <w:rFonts w:cstheme="minorHAnsi"/>
                <w:b/>
                <w:color w:val="000000" w:themeColor="text1"/>
                <w:sz w:val="20"/>
              </w:rPr>
              <w:lastRenderedPageBreak/>
              <w:t>3. Use of Evidence-based, SUD-specific Patient Placement Criteria (Milestone 2)</w:t>
            </w:r>
          </w:p>
        </w:tc>
      </w:tr>
      <w:tr w:rsidR="00396406" w:rsidRPr="00CA5CFA" w14:paraId="0D2E9F39" w14:textId="77777777" w:rsidTr="00CC2FC2">
        <w:trPr>
          <w:cantSplit/>
          <w:trHeight w:val="220"/>
        </w:trPr>
        <w:tc>
          <w:tcPr>
            <w:tcW w:w="12955" w:type="dxa"/>
            <w:gridSpan w:val="4"/>
            <w:shd w:val="clear" w:color="auto" w:fill="F2F2F2"/>
          </w:tcPr>
          <w:p w14:paraId="71C4278F" w14:textId="77777777" w:rsidR="00396406" w:rsidRPr="00464BF8" w:rsidRDefault="00396406" w:rsidP="00396406">
            <w:pPr>
              <w:rPr>
                <w:rFonts w:cstheme="minorHAnsi"/>
                <w:b/>
                <w:sz w:val="20"/>
              </w:rPr>
            </w:pPr>
            <w:r w:rsidRPr="00464BF8">
              <w:rPr>
                <w:rFonts w:cstheme="minorHAnsi"/>
                <w:b/>
                <w:sz w:val="20"/>
              </w:rPr>
              <w:t>3.1 Metric trends</w:t>
            </w:r>
          </w:p>
        </w:tc>
      </w:tr>
      <w:tr w:rsidR="00396406" w:rsidRPr="00CA5CFA" w14:paraId="31D5A489" w14:textId="77777777" w:rsidTr="00CC2FC2">
        <w:trPr>
          <w:cantSplit/>
          <w:trHeight w:val="233"/>
        </w:trPr>
        <w:tc>
          <w:tcPr>
            <w:tcW w:w="4945" w:type="dxa"/>
          </w:tcPr>
          <w:p w14:paraId="509F145D" w14:textId="77777777" w:rsidR="00396406" w:rsidRPr="00464BF8" w:rsidRDefault="00396406" w:rsidP="00396406">
            <w:pPr>
              <w:spacing w:before="40" w:after="40"/>
              <w:rPr>
                <w:rFonts w:cstheme="minorHAnsi"/>
                <w:i/>
                <w:sz w:val="20"/>
              </w:rPr>
            </w:pPr>
            <w:r w:rsidRPr="00464BF8">
              <w:rPr>
                <w:rFonts w:cstheme="minorHAnsi"/>
                <w:sz w:val="20"/>
              </w:rPr>
              <w:t xml:space="preserve">3.1.1 The state reports the following metric trends, including all changes (+ or -) greater than 2 percent related to </w:t>
            </w:r>
            <w:r>
              <w:rPr>
                <w:rFonts w:cstheme="minorHAnsi"/>
                <w:sz w:val="20"/>
              </w:rPr>
              <w:t>M</w:t>
            </w:r>
            <w:r w:rsidRPr="00464BF8">
              <w:rPr>
                <w:rFonts w:cstheme="minorHAnsi"/>
                <w:sz w:val="20"/>
              </w:rPr>
              <w:t xml:space="preserve">ilestone 2 </w:t>
            </w:r>
          </w:p>
        </w:tc>
        <w:tc>
          <w:tcPr>
            <w:tcW w:w="1440" w:type="dxa"/>
          </w:tcPr>
          <w:p w14:paraId="01DD18A5" w14:textId="612E439A" w:rsidR="00396406" w:rsidRPr="00A34958" w:rsidRDefault="00883D8C" w:rsidP="00396406">
            <w:pPr>
              <w:spacing w:before="40" w:after="40"/>
              <w:rPr>
                <w:rFonts w:cstheme="minorHAnsi"/>
                <w:i/>
                <w:sz w:val="20"/>
              </w:rPr>
            </w:pPr>
            <w:r w:rsidRPr="00A34958">
              <w:rPr>
                <w:rFonts w:cstheme="minorHAnsi"/>
                <w:iCs/>
                <w:sz w:val="20"/>
              </w:rPr>
              <w:t>X</w:t>
            </w:r>
          </w:p>
        </w:tc>
        <w:tc>
          <w:tcPr>
            <w:tcW w:w="1710" w:type="dxa"/>
          </w:tcPr>
          <w:p w14:paraId="1A0711CA" w14:textId="77777777" w:rsidR="00396406" w:rsidRPr="00A34958" w:rsidRDefault="00396406" w:rsidP="00396406">
            <w:pPr>
              <w:spacing w:before="40" w:after="40"/>
              <w:rPr>
                <w:rFonts w:cstheme="minorHAnsi"/>
                <w:i/>
                <w:sz w:val="20"/>
              </w:rPr>
            </w:pPr>
            <w:r w:rsidRPr="00A34958">
              <w:rPr>
                <w:rFonts w:cstheme="minorHAnsi"/>
                <w:iCs/>
                <w:sz w:val="20"/>
              </w:rPr>
              <w:t xml:space="preserve"> </w:t>
            </w:r>
          </w:p>
        </w:tc>
        <w:tc>
          <w:tcPr>
            <w:tcW w:w="4860" w:type="dxa"/>
          </w:tcPr>
          <w:p w14:paraId="1C422D6E" w14:textId="77777777" w:rsidR="00396406" w:rsidRPr="00A34958" w:rsidRDefault="00396406" w:rsidP="00396406">
            <w:pPr>
              <w:spacing w:before="40" w:after="40"/>
              <w:rPr>
                <w:rFonts w:cstheme="minorHAnsi"/>
                <w:i/>
                <w:sz w:val="20"/>
              </w:rPr>
            </w:pPr>
            <w:r w:rsidRPr="00A34958">
              <w:rPr>
                <w:rFonts w:cstheme="minorHAnsi"/>
                <w:iCs/>
                <w:sz w:val="20"/>
              </w:rPr>
              <w:t xml:space="preserve"> </w:t>
            </w:r>
          </w:p>
        </w:tc>
      </w:tr>
      <w:tr w:rsidR="00396406" w:rsidRPr="00CA5CFA" w14:paraId="20EC79D0" w14:textId="77777777" w:rsidTr="00CC2FC2">
        <w:trPr>
          <w:cantSplit/>
          <w:trHeight w:val="220"/>
        </w:trPr>
        <w:tc>
          <w:tcPr>
            <w:tcW w:w="12955" w:type="dxa"/>
            <w:gridSpan w:val="4"/>
            <w:shd w:val="clear" w:color="auto" w:fill="F2F2F2"/>
          </w:tcPr>
          <w:p w14:paraId="6C15F1DC" w14:textId="77777777" w:rsidR="00396406" w:rsidRPr="00464BF8" w:rsidRDefault="00396406" w:rsidP="00396406">
            <w:pPr>
              <w:rPr>
                <w:rFonts w:cstheme="minorHAnsi"/>
                <w:b/>
                <w:sz w:val="20"/>
              </w:rPr>
            </w:pPr>
            <w:r w:rsidRPr="00464BF8">
              <w:rPr>
                <w:rFonts w:cstheme="minorHAnsi"/>
                <w:b/>
                <w:sz w:val="20"/>
              </w:rPr>
              <w:t>3.2. Implementation update</w:t>
            </w:r>
          </w:p>
        </w:tc>
      </w:tr>
      <w:tr w:rsidR="00396406" w:rsidRPr="00CA5CFA" w14:paraId="1F78B120" w14:textId="77777777" w:rsidTr="00CC2FC2">
        <w:trPr>
          <w:cantSplit/>
          <w:trHeight w:val="233"/>
        </w:trPr>
        <w:tc>
          <w:tcPr>
            <w:tcW w:w="4945" w:type="dxa"/>
          </w:tcPr>
          <w:p w14:paraId="2B09E1D4" w14:textId="77777777" w:rsidR="00396406" w:rsidRPr="00464BF8" w:rsidRDefault="00396406" w:rsidP="00396406">
            <w:pPr>
              <w:spacing w:before="40" w:after="40"/>
              <w:rPr>
                <w:rFonts w:cstheme="minorHAnsi"/>
                <w:sz w:val="20"/>
              </w:rPr>
            </w:pPr>
            <w:r w:rsidRPr="00464BF8">
              <w:rPr>
                <w:rFonts w:cstheme="minorHAnsi"/>
                <w:sz w:val="20"/>
              </w:rPr>
              <w:t xml:space="preserve">3.2.1 Compared to the demonstration design and operational details, the state expects to make the following changes to: </w:t>
            </w:r>
          </w:p>
          <w:p w14:paraId="35293D82" w14:textId="77777777" w:rsidR="00396406" w:rsidRPr="00464BF8" w:rsidRDefault="00396406" w:rsidP="00396406">
            <w:pPr>
              <w:pStyle w:val="ListParagraph"/>
              <w:numPr>
                <w:ilvl w:val="0"/>
                <w:numId w:val="41"/>
              </w:numPr>
              <w:spacing w:before="40" w:after="40" w:line="240" w:lineRule="auto"/>
              <w:ind w:left="876" w:hanging="180"/>
              <w:rPr>
                <w:rFonts w:cstheme="minorHAnsi"/>
                <w:sz w:val="20"/>
              </w:rPr>
            </w:pPr>
            <w:r w:rsidRPr="00464BF8">
              <w:rPr>
                <w:rFonts w:cstheme="minorHAnsi"/>
                <w:sz w:val="20"/>
              </w:rPr>
              <w:t>Planned activities to improve providers’ use of evidence-based, SUD-specific placement criteria</w:t>
            </w:r>
          </w:p>
        </w:tc>
        <w:tc>
          <w:tcPr>
            <w:tcW w:w="1440" w:type="dxa"/>
            <w:shd w:val="clear" w:color="auto" w:fill="auto"/>
          </w:tcPr>
          <w:p w14:paraId="0A29869C" w14:textId="77777777" w:rsidR="00396406" w:rsidRPr="00A34958" w:rsidRDefault="00396406" w:rsidP="00396406">
            <w:pPr>
              <w:spacing w:before="40" w:after="40"/>
              <w:rPr>
                <w:rFonts w:cstheme="minorHAnsi"/>
                <w:i/>
                <w:sz w:val="20"/>
              </w:rPr>
            </w:pPr>
            <w:r w:rsidRPr="00A34958">
              <w:rPr>
                <w:rFonts w:cstheme="minorHAnsi"/>
                <w:iCs/>
                <w:sz w:val="20"/>
              </w:rPr>
              <w:t xml:space="preserve"> </w:t>
            </w:r>
          </w:p>
        </w:tc>
        <w:tc>
          <w:tcPr>
            <w:tcW w:w="1710" w:type="dxa"/>
            <w:shd w:val="clear" w:color="auto" w:fill="D9D9D9"/>
          </w:tcPr>
          <w:p w14:paraId="761DD51A" w14:textId="77777777" w:rsidR="00396406" w:rsidRPr="00A34958" w:rsidRDefault="00396406" w:rsidP="00396406">
            <w:pPr>
              <w:spacing w:before="40" w:after="40"/>
              <w:rPr>
                <w:rFonts w:cstheme="minorHAnsi"/>
                <w:i/>
                <w:sz w:val="20"/>
              </w:rPr>
            </w:pPr>
            <w:r w:rsidRPr="00A34958">
              <w:rPr>
                <w:rFonts w:cstheme="minorHAnsi"/>
                <w:iCs/>
                <w:sz w:val="20"/>
              </w:rPr>
              <w:t xml:space="preserve"> </w:t>
            </w:r>
          </w:p>
        </w:tc>
        <w:tc>
          <w:tcPr>
            <w:tcW w:w="4860" w:type="dxa"/>
          </w:tcPr>
          <w:p w14:paraId="71853CC1" w14:textId="4995B1C8" w:rsidR="00396406" w:rsidRPr="00A34958" w:rsidRDefault="00883D8C" w:rsidP="00044DD2">
            <w:pPr>
              <w:spacing w:before="40" w:after="40"/>
              <w:rPr>
                <w:rFonts w:cstheme="minorHAnsi"/>
                <w:sz w:val="20"/>
              </w:rPr>
            </w:pPr>
            <w:r w:rsidRPr="00A34958">
              <w:rPr>
                <w:rFonts w:cstheme="minorHAnsi"/>
                <w:sz w:val="20"/>
              </w:rPr>
              <w:t>In DY4</w:t>
            </w:r>
            <w:r w:rsidR="00814924" w:rsidRPr="00A34958">
              <w:rPr>
                <w:rFonts w:cstheme="minorHAnsi"/>
                <w:sz w:val="20"/>
              </w:rPr>
              <w:t xml:space="preserve"> </w:t>
            </w:r>
            <w:r w:rsidR="00F366AF">
              <w:rPr>
                <w:rFonts w:cstheme="minorHAnsi"/>
                <w:sz w:val="20"/>
              </w:rPr>
              <w:t>Q</w:t>
            </w:r>
            <w:r w:rsidR="00383D84">
              <w:rPr>
                <w:rFonts w:cstheme="minorHAnsi"/>
                <w:sz w:val="20"/>
              </w:rPr>
              <w:t>3</w:t>
            </w:r>
            <w:r w:rsidRPr="00A34958">
              <w:rPr>
                <w:rFonts w:cstheme="minorHAnsi"/>
                <w:sz w:val="20"/>
              </w:rPr>
              <w:t xml:space="preserve">, OBH continued implementation of the specialized Hub and Spoke Model to expand capacity of </w:t>
            </w:r>
            <w:r w:rsidR="00044DD2">
              <w:rPr>
                <w:rFonts w:cstheme="minorHAnsi"/>
                <w:sz w:val="20"/>
              </w:rPr>
              <w:t>MOUD</w:t>
            </w:r>
            <w:r w:rsidRPr="00A34958">
              <w:rPr>
                <w:rFonts w:cstheme="minorHAnsi"/>
                <w:sz w:val="20"/>
              </w:rPr>
              <w:t xml:space="preserve"> services. To facilitate proper patient placement and assigning the right level of care, at the right dose and time, providers continue to complete a comprehensive assessment and the Treatment Needs Questionnaire (TNQ) Form, to guide proper patient placement for </w:t>
            </w:r>
            <w:r w:rsidR="00044DD2">
              <w:rPr>
                <w:rFonts w:cstheme="minorHAnsi"/>
                <w:sz w:val="20"/>
              </w:rPr>
              <w:t>MOUD</w:t>
            </w:r>
            <w:r w:rsidRPr="00A34958">
              <w:rPr>
                <w:rFonts w:cstheme="minorHAnsi"/>
                <w:sz w:val="20"/>
              </w:rPr>
              <w:t xml:space="preserve"> services. The intent of the TNQ form is to guide practitioners in determining whether the patient should be receiving treatment at an Office Based Opioid Treatment facility (OBOT) or receive </w:t>
            </w:r>
            <w:proofErr w:type="gramStart"/>
            <w:r w:rsidRPr="00A34958">
              <w:rPr>
                <w:rFonts w:cstheme="minorHAnsi"/>
                <w:sz w:val="20"/>
              </w:rPr>
              <w:t>more intensive services at an Opioid Treatment Program (OTP)</w:t>
            </w:r>
            <w:proofErr w:type="gramEnd"/>
            <w:r w:rsidRPr="00A34958">
              <w:rPr>
                <w:rFonts w:cstheme="minorHAnsi"/>
                <w:sz w:val="20"/>
              </w:rPr>
              <w:t>. General service providers must complete a comprehensive evaluation and the ASAM six dimensions to guide proper placement.</w:t>
            </w:r>
          </w:p>
        </w:tc>
      </w:tr>
      <w:tr w:rsidR="00396406" w:rsidRPr="00CA5CFA" w14:paraId="3C5CA820" w14:textId="77777777" w:rsidTr="00CC2FC2">
        <w:trPr>
          <w:cantSplit/>
          <w:trHeight w:val="233"/>
        </w:trPr>
        <w:tc>
          <w:tcPr>
            <w:tcW w:w="4945" w:type="dxa"/>
            <w:tcBorders>
              <w:bottom w:val="single" w:sz="4" w:space="0" w:color="DDE0E3" w:themeColor="accent3" w:themeTint="33"/>
            </w:tcBorders>
          </w:tcPr>
          <w:p w14:paraId="742FD996" w14:textId="77777777" w:rsidR="00396406" w:rsidRPr="00464BF8" w:rsidRDefault="00396406" w:rsidP="00396406">
            <w:pPr>
              <w:pStyle w:val="ListParagraph"/>
              <w:numPr>
                <w:ilvl w:val="0"/>
                <w:numId w:val="41"/>
              </w:numPr>
              <w:spacing w:before="40" w:after="40" w:line="240" w:lineRule="auto"/>
              <w:ind w:left="876" w:hanging="180"/>
              <w:rPr>
                <w:rFonts w:cstheme="minorHAnsi"/>
                <w:sz w:val="20"/>
              </w:rPr>
            </w:pPr>
            <w:r w:rsidRPr="00464BF8">
              <w:rPr>
                <w:rFonts w:cstheme="minorHAnsi"/>
                <w:sz w:val="20"/>
              </w:rPr>
              <w:t>Implementation of a utilization management approach to ensure (a) beneficiaries have access to SUD services at the appropriate level of care, (b) interventions are appropriate for the diagnosis and level of care, or (c) use of independent process for reviewing placement in residential treatment settings</w:t>
            </w:r>
          </w:p>
        </w:tc>
        <w:tc>
          <w:tcPr>
            <w:tcW w:w="1440" w:type="dxa"/>
            <w:tcBorders>
              <w:bottom w:val="single" w:sz="4" w:space="0" w:color="DDE0E3" w:themeColor="accent3" w:themeTint="33"/>
            </w:tcBorders>
            <w:shd w:val="clear" w:color="auto" w:fill="auto"/>
          </w:tcPr>
          <w:p w14:paraId="6ABB3BD6" w14:textId="13330F51" w:rsidR="00396406" w:rsidRPr="00A34958" w:rsidRDefault="00883D8C" w:rsidP="00396406">
            <w:pPr>
              <w:spacing w:before="40" w:after="40"/>
              <w:rPr>
                <w:rFonts w:cstheme="minorHAnsi"/>
                <w:i/>
                <w:sz w:val="20"/>
              </w:rPr>
            </w:pPr>
            <w:r w:rsidRPr="00A34958">
              <w:rPr>
                <w:rFonts w:cstheme="minorHAnsi"/>
                <w:iCs/>
                <w:sz w:val="20"/>
              </w:rPr>
              <w:t>X</w:t>
            </w:r>
          </w:p>
        </w:tc>
        <w:tc>
          <w:tcPr>
            <w:tcW w:w="1710" w:type="dxa"/>
            <w:tcBorders>
              <w:bottom w:val="single" w:sz="4" w:space="0" w:color="DDE0E3" w:themeColor="accent3" w:themeTint="33"/>
            </w:tcBorders>
            <w:shd w:val="clear" w:color="auto" w:fill="D9D9D9"/>
          </w:tcPr>
          <w:p w14:paraId="2BF373C2" w14:textId="77777777" w:rsidR="00396406" w:rsidRPr="00A34958" w:rsidRDefault="00396406" w:rsidP="00396406">
            <w:pPr>
              <w:spacing w:before="40" w:after="40"/>
              <w:rPr>
                <w:rFonts w:cstheme="minorHAnsi"/>
                <w:i/>
                <w:sz w:val="20"/>
              </w:rPr>
            </w:pPr>
            <w:r w:rsidRPr="00A34958">
              <w:rPr>
                <w:rFonts w:cstheme="minorHAnsi"/>
                <w:iCs/>
                <w:sz w:val="20"/>
              </w:rPr>
              <w:t xml:space="preserve"> </w:t>
            </w:r>
          </w:p>
        </w:tc>
        <w:tc>
          <w:tcPr>
            <w:tcW w:w="4860" w:type="dxa"/>
            <w:tcBorders>
              <w:bottom w:val="single" w:sz="4" w:space="0" w:color="DDE0E3" w:themeColor="accent3" w:themeTint="33"/>
            </w:tcBorders>
          </w:tcPr>
          <w:p w14:paraId="35ACAC59" w14:textId="5E42423D" w:rsidR="00396406" w:rsidRPr="00A34958" w:rsidRDefault="00396406" w:rsidP="00396406">
            <w:pPr>
              <w:spacing w:before="40" w:after="40"/>
              <w:rPr>
                <w:rFonts w:cstheme="minorHAnsi"/>
                <w:sz w:val="20"/>
              </w:rPr>
            </w:pPr>
          </w:p>
        </w:tc>
      </w:tr>
      <w:tr w:rsidR="00396406" w:rsidRPr="00CA5CFA" w14:paraId="39ED8CCB" w14:textId="77777777" w:rsidTr="00CC2FC2">
        <w:trPr>
          <w:cantSplit/>
          <w:trHeight w:val="233"/>
        </w:trPr>
        <w:tc>
          <w:tcPr>
            <w:tcW w:w="4945" w:type="dxa"/>
            <w:tcBorders>
              <w:top w:val="single" w:sz="4" w:space="0" w:color="DDE0E3" w:themeColor="accent3" w:themeTint="33"/>
              <w:bottom w:val="single" w:sz="4" w:space="0" w:color="DDE0E3" w:themeColor="accent3" w:themeTint="33"/>
            </w:tcBorders>
          </w:tcPr>
          <w:p w14:paraId="49AAACA4" w14:textId="77777777" w:rsidR="00396406" w:rsidRPr="00464BF8" w:rsidRDefault="00396406" w:rsidP="00396406">
            <w:pPr>
              <w:spacing w:before="40" w:after="40"/>
              <w:rPr>
                <w:rFonts w:cstheme="minorHAnsi"/>
                <w:color w:val="000000" w:themeColor="text1"/>
                <w:sz w:val="20"/>
              </w:rPr>
            </w:pPr>
            <w:r w:rsidRPr="00464BF8">
              <w:rPr>
                <w:rFonts w:cstheme="minorHAnsi"/>
                <w:color w:val="000000" w:themeColor="text1"/>
                <w:sz w:val="20"/>
              </w:rPr>
              <w:t xml:space="preserve">3.2.2 The state </w:t>
            </w:r>
            <w:r w:rsidRPr="00464BF8">
              <w:rPr>
                <w:rFonts w:cstheme="minorHAnsi"/>
                <w:sz w:val="20"/>
              </w:rPr>
              <w:t xml:space="preserve">expects to make other program changes that may affect metrics related to </w:t>
            </w:r>
            <w:r>
              <w:rPr>
                <w:rFonts w:cstheme="minorHAnsi"/>
                <w:sz w:val="20"/>
              </w:rPr>
              <w:t>M</w:t>
            </w:r>
            <w:r w:rsidRPr="00464BF8">
              <w:rPr>
                <w:rFonts w:cstheme="minorHAnsi"/>
                <w:sz w:val="20"/>
              </w:rPr>
              <w:t>ilestone 2</w:t>
            </w:r>
          </w:p>
        </w:tc>
        <w:tc>
          <w:tcPr>
            <w:tcW w:w="1440" w:type="dxa"/>
            <w:tcBorders>
              <w:top w:val="single" w:sz="4" w:space="0" w:color="DDE0E3" w:themeColor="accent3" w:themeTint="33"/>
              <w:bottom w:val="single" w:sz="4" w:space="0" w:color="DDE0E3" w:themeColor="accent3" w:themeTint="33"/>
            </w:tcBorders>
            <w:shd w:val="clear" w:color="auto" w:fill="auto"/>
          </w:tcPr>
          <w:p w14:paraId="33ADE153" w14:textId="767FFC7F" w:rsidR="00396406" w:rsidRPr="00A34958" w:rsidRDefault="00883D8C" w:rsidP="00396406">
            <w:pPr>
              <w:spacing w:before="40" w:after="40"/>
              <w:rPr>
                <w:rFonts w:cstheme="minorHAnsi"/>
                <w:i/>
                <w:sz w:val="20"/>
              </w:rPr>
            </w:pPr>
            <w:r w:rsidRPr="00A34958">
              <w:rPr>
                <w:rFonts w:cstheme="minorHAnsi"/>
                <w:iCs/>
                <w:sz w:val="20"/>
              </w:rPr>
              <w:t>X</w:t>
            </w:r>
          </w:p>
        </w:tc>
        <w:tc>
          <w:tcPr>
            <w:tcW w:w="1710" w:type="dxa"/>
            <w:tcBorders>
              <w:top w:val="single" w:sz="4" w:space="0" w:color="DDE0E3" w:themeColor="accent3" w:themeTint="33"/>
              <w:bottom w:val="single" w:sz="4" w:space="0" w:color="DDE0E3" w:themeColor="accent3" w:themeTint="33"/>
            </w:tcBorders>
            <w:shd w:val="clear" w:color="auto" w:fill="D9D9D9"/>
          </w:tcPr>
          <w:p w14:paraId="30AA0D83" w14:textId="77777777" w:rsidR="00396406" w:rsidRPr="00A34958" w:rsidRDefault="00396406" w:rsidP="00396406">
            <w:pPr>
              <w:spacing w:before="40" w:after="40"/>
              <w:rPr>
                <w:rFonts w:cstheme="minorHAnsi"/>
                <w:i/>
                <w:sz w:val="20"/>
              </w:rPr>
            </w:pPr>
            <w:r w:rsidRPr="00A34958">
              <w:rPr>
                <w:rFonts w:cstheme="minorHAnsi"/>
                <w:iCs/>
                <w:sz w:val="20"/>
              </w:rPr>
              <w:t xml:space="preserve"> </w:t>
            </w:r>
          </w:p>
        </w:tc>
        <w:tc>
          <w:tcPr>
            <w:tcW w:w="4860" w:type="dxa"/>
            <w:tcBorders>
              <w:top w:val="single" w:sz="4" w:space="0" w:color="DDE0E3" w:themeColor="accent3" w:themeTint="33"/>
              <w:bottom w:val="single" w:sz="4" w:space="0" w:color="DDE0E3" w:themeColor="accent3" w:themeTint="33"/>
            </w:tcBorders>
          </w:tcPr>
          <w:p w14:paraId="06D524B3" w14:textId="77777777" w:rsidR="00396406" w:rsidRPr="00A34958" w:rsidRDefault="00396406" w:rsidP="00396406">
            <w:pPr>
              <w:spacing w:before="40" w:after="40"/>
              <w:rPr>
                <w:rFonts w:cstheme="minorHAnsi"/>
                <w:i/>
                <w:sz w:val="20"/>
              </w:rPr>
            </w:pPr>
            <w:r w:rsidRPr="00A34958">
              <w:rPr>
                <w:rFonts w:cstheme="minorHAnsi"/>
                <w:iCs/>
                <w:sz w:val="20"/>
              </w:rPr>
              <w:t xml:space="preserve"> </w:t>
            </w:r>
          </w:p>
        </w:tc>
      </w:tr>
      <w:tr w:rsidR="00396406" w:rsidRPr="00CA5CFA" w14:paraId="335D672B" w14:textId="77777777" w:rsidTr="00CC2FC2">
        <w:trPr>
          <w:cantSplit/>
          <w:trHeight w:val="220"/>
        </w:trPr>
        <w:tc>
          <w:tcPr>
            <w:tcW w:w="12955" w:type="dxa"/>
            <w:gridSpan w:val="4"/>
            <w:tcBorders>
              <w:top w:val="single" w:sz="4" w:space="0" w:color="DDE0E3" w:themeColor="accent3" w:themeTint="33"/>
            </w:tcBorders>
            <w:shd w:val="clear" w:color="auto" w:fill="D9D9D9"/>
          </w:tcPr>
          <w:p w14:paraId="693F1033" w14:textId="77777777" w:rsidR="00396406" w:rsidRPr="00464BF8" w:rsidRDefault="00396406" w:rsidP="00396406">
            <w:pPr>
              <w:pageBreakBefore/>
              <w:rPr>
                <w:rFonts w:cstheme="minorHAnsi"/>
                <w:b/>
                <w:color w:val="000000" w:themeColor="text1"/>
                <w:sz w:val="20"/>
              </w:rPr>
            </w:pPr>
            <w:r w:rsidRPr="00464BF8">
              <w:rPr>
                <w:rFonts w:cstheme="minorHAnsi"/>
                <w:b/>
                <w:color w:val="000000" w:themeColor="text1"/>
                <w:sz w:val="20"/>
              </w:rPr>
              <w:lastRenderedPageBreak/>
              <w:t>4. Use of Nationally Recognized SUD-specific Program Standards to Set Provider Qualifications for Residential Treatment Facilities (Milestone 3)</w:t>
            </w:r>
          </w:p>
        </w:tc>
      </w:tr>
      <w:tr w:rsidR="00396406" w:rsidRPr="00CA5CFA" w14:paraId="701F647C" w14:textId="77777777" w:rsidTr="00CC2FC2">
        <w:trPr>
          <w:cantSplit/>
          <w:trHeight w:val="220"/>
        </w:trPr>
        <w:tc>
          <w:tcPr>
            <w:tcW w:w="12955" w:type="dxa"/>
            <w:gridSpan w:val="4"/>
            <w:shd w:val="clear" w:color="auto" w:fill="F2F2F2"/>
          </w:tcPr>
          <w:p w14:paraId="214BB304" w14:textId="77777777" w:rsidR="00396406" w:rsidRPr="00464BF8" w:rsidRDefault="00396406" w:rsidP="00396406">
            <w:pPr>
              <w:rPr>
                <w:rFonts w:cstheme="minorHAnsi"/>
                <w:b/>
                <w:sz w:val="20"/>
              </w:rPr>
            </w:pPr>
            <w:r w:rsidRPr="00464BF8">
              <w:rPr>
                <w:rFonts w:cstheme="minorHAnsi"/>
                <w:b/>
                <w:sz w:val="20"/>
              </w:rPr>
              <w:t>4.1 Metric trends</w:t>
            </w:r>
          </w:p>
        </w:tc>
      </w:tr>
      <w:tr w:rsidR="00396406" w:rsidRPr="00CA5CFA" w14:paraId="0ED70E17" w14:textId="77777777" w:rsidTr="00CC2FC2">
        <w:trPr>
          <w:cantSplit/>
          <w:trHeight w:val="233"/>
        </w:trPr>
        <w:tc>
          <w:tcPr>
            <w:tcW w:w="4945" w:type="dxa"/>
          </w:tcPr>
          <w:p w14:paraId="7F5EE68C" w14:textId="77777777" w:rsidR="00396406" w:rsidRPr="00464BF8" w:rsidRDefault="00396406" w:rsidP="00396406">
            <w:pPr>
              <w:spacing w:before="40" w:after="40"/>
              <w:rPr>
                <w:rFonts w:cstheme="minorHAnsi"/>
                <w:sz w:val="20"/>
              </w:rPr>
            </w:pPr>
            <w:r w:rsidRPr="00464BF8">
              <w:rPr>
                <w:rFonts w:cstheme="minorHAnsi"/>
                <w:sz w:val="20"/>
              </w:rPr>
              <w:t xml:space="preserve">4.1.1 The state reports the following metric trends, including all changes (+ or -) greater than 2 percent related to </w:t>
            </w:r>
            <w:r>
              <w:rPr>
                <w:rFonts w:cstheme="minorHAnsi"/>
                <w:sz w:val="20"/>
              </w:rPr>
              <w:t>M</w:t>
            </w:r>
            <w:r w:rsidRPr="00464BF8">
              <w:rPr>
                <w:rFonts w:cstheme="minorHAnsi"/>
                <w:sz w:val="20"/>
              </w:rPr>
              <w:t>ilestone 3</w:t>
            </w:r>
          </w:p>
          <w:p w14:paraId="76BF92A6" w14:textId="77777777" w:rsidR="00396406" w:rsidRPr="00464BF8" w:rsidRDefault="00396406" w:rsidP="00396406">
            <w:pPr>
              <w:spacing w:before="40" w:after="40"/>
              <w:rPr>
                <w:rFonts w:cstheme="minorHAnsi"/>
                <w:i/>
                <w:sz w:val="20"/>
              </w:rPr>
            </w:pPr>
            <w:r w:rsidRPr="00464BF8">
              <w:rPr>
                <w:rFonts w:cstheme="minorHAnsi"/>
                <w:i/>
                <w:sz w:val="20"/>
              </w:rPr>
              <w:t xml:space="preserve">Note: There are no CMS-provided metrics related to </w:t>
            </w:r>
            <w:r>
              <w:rPr>
                <w:rFonts w:cstheme="minorHAnsi"/>
                <w:i/>
                <w:sz w:val="20"/>
              </w:rPr>
              <w:t>M</w:t>
            </w:r>
            <w:r w:rsidRPr="00464BF8">
              <w:rPr>
                <w:rFonts w:cstheme="minorHAnsi"/>
                <w:i/>
                <w:sz w:val="20"/>
              </w:rPr>
              <w:t>ilestone 3.  If the state did not identify any metrics for reporting this milestone, the state should indicate it has no update to report.</w:t>
            </w:r>
          </w:p>
        </w:tc>
        <w:tc>
          <w:tcPr>
            <w:tcW w:w="1440" w:type="dxa"/>
          </w:tcPr>
          <w:p w14:paraId="2E69EC02" w14:textId="22FCBB90" w:rsidR="00396406" w:rsidRPr="00A34958" w:rsidRDefault="00883D8C" w:rsidP="00396406">
            <w:pPr>
              <w:spacing w:before="40" w:after="40"/>
              <w:rPr>
                <w:rFonts w:cstheme="minorHAnsi"/>
                <w:sz w:val="20"/>
              </w:rPr>
            </w:pPr>
            <w:r w:rsidRPr="00A34958">
              <w:rPr>
                <w:rFonts w:cstheme="minorHAnsi"/>
                <w:sz w:val="20"/>
              </w:rPr>
              <w:t>X</w:t>
            </w:r>
          </w:p>
        </w:tc>
        <w:tc>
          <w:tcPr>
            <w:tcW w:w="1710" w:type="dxa"/>
          </w:tcPr>
          <w:p w14:paraId="308FCC63" w14:textId="77777777" w:rsidR="00396406" w:rsidRPr="00A34958" w:rsidRDefault="00396406" w:rsidP="00396406">
            <w:pPr>
              <w:spacing w:before="40" w:after="40"/>
              <w:rPr>
                <w:rFonts w:cstheme="minorHAnsi"/>
                <w:i/>
                <w:sz w:val="20"/>
              </w:rPr>
            </w:pPr>
            <w:r w:rsidRPr="00A34958">
              <w:rPr>
                <w:rFonts w:cstheme="minorHAnsi"/>
                <w:iCs/>
                <w:sz w:val="20"/>
              </w:rPr>
              <w:t xml:space="preserve"> </w:t>
            </w:r>
          </w:p>
        </w:tc>
        <w:tc>
          <w:tcPr>
            <w:tcW w:w="4860" w:type="dxa"/>
          </w:tcPr>
          <w:p w14:paraId="17A0CCA2" w14:textId="77777777" w:rsidR="00396406" w:rsidRPr="00A34958" w:rsidRDefault="00396406" w:rsidP="00396406">
            <w:pPr>
              <w:spacing w:before="40" w:after="40"/>
              <w:rPr>
                <w:rFonts w:cstheme="minorHAnsi"/>
                <w:i/>
                <w:sz w:val="20"/>
              </w:rPr>
            </w:pPr>
            <w:r w:rsidRPr="00A34958">
              <w:rPr>
                <w:rFonts w:cstheme="minorHAnsi"/>
                <w:iCs/>
                <w:sz w:val="20"/>
              </w:rPr>
              <w:t xml:space="preserve"> </w:t>
            </w:r>
          </w:p>
        </w:tc>
      </w:tr>
      <w:tr w:rsidR="00396406" w:rsidRPr="00CA5CFA" w14:paraId="329B98DB" w14:textId="77777777" w:rsidTr="00CC2FC2">
        <w:trPr>
          <w:cantSplit/>
          <w:trHeight w:val="220"/>
        </w:trPr>
        <w:tc>
          <w:tcPr>
            <w:tcW w:w="12955" w:type="dxa"/>
            <w:gridSpan w:val="4"/>
            <w:shd w:val="clear" w:color="auto" w:fill="F2F2F2"/>
          </w:tcPr>
          <w:p w14:paraId="6B443469" w14:textId="77777777" w:rsidR="00396406" w:rsidRPr="00464BF8" w:rsidRDefault="00396406" w:rsidP="00396406">
            <w:pPr>
              <w:rPr>
                <w:rFonts w:cstheme="minorHAnsi"/>
                <w:bCs/>
                <w:sz w:val="20"/>
              </w:rPr>
            </w:pPr>
            <w:r w:rsidRPr="00464BF8">
              <w:rPr>
                <w:rFonts w:cstheme="minorHAnsi"/>
                <w:b/>
                <w:sz w:val="20"/>
              </w:rPr>
              <w:t>4.2 Implementation update</w:t>
            </w:r>
          </w:p>
        </w:tc>
      </w:tr>
      <w:tr w:rsidR="00396406" w:rsidRPr="00CA5CFA" w14:paraId="7DD63465" w14:textId="77777777" w:rsidTr="00CC2FC2">
        <w:trPr>
          <w:cantSplit/>
        </w:trPr>
        <w:tc>
          <w:tcPr>
            <w:tcW w:w="4945" w:type="dxa"/>
          </w:tcPr>
          <w:p w14:paraId="1643D504" w14:textId="77777777" w:rsidR="00396406" w:rsidRPr="00464BF8" w:rsidRDefault="00396406" w:rsidP="00396406">
            <w:pPr>
              <w:spacing w:before="40" w:after="40"/>
              <w:rPr>
                <w:rFonts w:cstheme="minorHAnsi"/>
                <w:sz w:val="20"/>
              </w:rPr>
            </w:pPr>
            <w:r w:rsidRPr="00464BF8">
              <w:rPr>
                <w:rFonts w:cstheme="minorHAnsi"/>
                <w:sz w:val="20"/>
              </w:rPr>
              <w:t xml:space="preserve">4.2.1 Compared to the demonstration design and operational details, the state expects to make the following changes to:  </w:t>
            </w:r>
          </w:p>
          <w:p w14:paraId="434FAA8F" w14:textId="77777777" w:rsidR="00396406" w:rsidRPr="00E60D72" w:rsidRDefault="00396406" w:rsidP="00396406">
            <w:pPr>
              <w:pStyle w:val="ListParagraph"/>
              <w:numPr>
                <w:ilvl w:val="0"/>
                <w:numId w:val="42"/>
              </w:numPr>
              <w:spacing w:before="40" w:after="40" w:line="240" w:lineRule="auto"/>
              <w:ind w:left="876" w:hanging="180"/>
              <w:rPr>
                <w:rFonts w:cstheme="minorHAnsi"/>
                <w:sz w:val="20"/>
              </w:rPr>
            </w:pPr>
            <w:r w:rsidRPr="00464BF8">
              <w:rPr>
                <w:rFonts w:cstheme="minorHAnsi"/>
                <w:sz w:val="20"/>
              </w:rPr>
              <w:t>Implementation of residential treatment provider qualifications that meet the ASAM Criteria or other nationally recognized, SUD-specific program standards</w:t>
            </w:r>
          </w:p>
        </w:tc>
        <w:tc>
          <w:tcPr>
            <w:tcW w:w="1440" w:type="dxa"/>
            <w:shd w:val="clear" w:color="auto" w:fill="auto"/>
          </w:tcPr>
          <w:p w14:paraId="624EFAF3" w14:textId="428B26AB" w:rsidR="00396406" w:rsidRPr="00A34958" w:rsidRDefault="00883D8C" w:rsidP="00396406">
            <w:pPr>
              <w:spacing w:before="40" w:after="40"/>
              <w:rPr>
                <w:rFonts w:cstheme="minorHAnsi"/>
                <w:sz w:val="20"/>
              </w:rPr>
            </w:pPr>
            <w:r w:rsidRPr="00A34958">
              <w:rPr>
                <w:rFonts w:cstheme="minorHAnsi"/>
                <w:sz w:val="20"/>
              </w:rPr>
              <w:t>X</w:t>
            </w:r>
          </w:p>
        </w:tc>
        <w:tc>
          <w:tcPr>
            <w:tcW w:w="1710" w:type="dxa"/>
            <w:shd w:val="clear" w:color="auto" w:fill="D9D9D9"/>
          </w:tcPr>
          <w:p w14:paraId="0AFE35AA" w14:textId="600D52FA" w:rsidR="00396406" w:rsidRPr="00A34958" w:rsidRDefault="00396406" w:rsidP="00396406">
            <w:pPr>
              <w:spacing w:before="40" w:after="40"/>
              <w:rPr>
                <w:rFonts w:cstheme="minorHAnsi"/>
                <w:i/>
                <w:sz w:val="20"/>
              </w:rPr>
            </w:pPr>
          </w:p>
        </w:tc>
        <w:tc>
          <w:tcPr>
            <w:tcW w:w="4860" w:type="dxa"/>
          </w:tcPr>
          <w:p w14:paraId="555D7820" w14:textId="2E72FBFB" w:rsidR="00396406" w:rsidRPr="00A34958" w:rsidRDefault="00396406" w:rsidP="00396406">
            <w:pPr>
              <w:spacing w:before="40" w:after="40"/>
              <w:rPr>
                <w:rFonts w:cstheme="minorHAnsi"/>
                <w:sz w:val="20"/>
              </w:rPr>
            </w:pPr>
          </w:p>
        </w:tc>
      </w:tr>
      <w:tr w:rsidR="00396406" w:rsidRPr="00CA5CFA" w14:paraId="7AAEF0B1" w14:textId="77777777" w:rsidTr="00CC2FC2">
        <w:trPr>
          <w:cantSplit/>
          <w:trHeight w:val="233"/>
        </w:trPr>
        <w:tc>
          <w:tcPr>
            <w:tcW w:w="4945" w:type="dxa"/>
          </w:tcPr>
          <w:p w14:paraId="1DA4FF8E" w14:textId="77777777" w:rsidR="00396406" w:rsidRPr="00E60D72" w:rsidRDefault="00396406" w:rsidP="00396406">
            <w:pPr>
              <w:pStyle w:val="ListParagraph"/>
              <w:numPr>
                <w:ilvl w:val="0"/>
                <w:numId w:val="42"/>
              </w:numPr>
              <w:spacing w:before="40" w:after="40" w:line="240" w:lineRule="auto"/>
              <w:ind w:left="876" w:hanging="180"/>
              <w:rPr>
                <w:rFonts w:cstheme="minorHAnsi"/>
                <w:i/>
                <w:color w:val="646464"/>
                <w:sz w:val="20"/>
              </w:rPr>
            </w:pPr>
            <w:r w:rsidRPr="00464BF8">
              <w:rPr>
                <w:rFonts w:cstheme="minorHAnsi"/>
                <w:sz w:val="20"/>
              </w:rPr>
              <w:t>Review process for residential treatment providers’ compliance with qualifications.</w:t>
            </w:r>
          </w:p>
        </w:tc>
        <w:tc>
          <w:tcPr>
            <w:tcW w:w="1440" w:type="dxa"/>
            <w:shd w:val="clear" w:color="auto" w:fill="auto"/>
          </w:tcPr>
          <w:p w14:paraId="5DEC9D9C" w14:textId="6F84CCC5" w:rsidR="00396406" w:rsidRPr="00A34958" w:rsidRDefault="00396406" w:rsidP="00396406">
            <w:pPr>
              <w:spacing w:before="40" w:after="40"/>
              <w:rPr>
                <w:rFonts w:cstheme="minorHAnsi"/>
                <w:i/>
                <w:sz w:val="20"/>
              </w:rPr>
            </w:pPr>
          </w:p>
        </w:tc>
        <w:tc>
          <w:tcPr>
            <w:tcW w:w="1710" w:type="dxa"/>
            <w:shd w:val="clear" w:color="auto" w:fill="D9D9D9"/>
          </w:tcPr>
          <w:p w14:paraId="59675E42" w14:textId="6BB73BFA" w:rsidR="00396406" w:rsidRPr="00A34958" w:rsidRDefault="00396406" w:rsidP="00396406">
            <w:pPr>
              <w:spacing w:before="40" w:after="40"/>
              <w:rPr>
                <w:rFonts w:cstheme="minorHAnsi"/>
                <w:i/>
                <w:sz w:val="20"/>
              </w:rPr>
            </w:pPr>
          </w:p>
        </w:tc>
        <w:tc>
          <w:tcPr>
            <w:tcW w:w="4860" w:type="dxa"/>
          </w:tcPr>
          <w:p w14:paraId="6D97FC17" w14:textId="7AEBE88B" w:rsidR="00396406" w:rsidRPr="00A34958" w:rsidRDefault="00C80D6E" w:rsidP="00396406">
            <w:pPr>
              <w:spacing w:before="40" w:after="40"/>
              <w:rPr>
                <w:rFonts w:cstheme="minorHAnsi"/>
                <w:sz w:val="20"/>
              </w:rPr>
            </w:pPr>
            <w:r w:rsidRPr="00C80D6E">
              <w:rPr>
                <w:rFonts w:cstheme="minorHAnsi"/>
                <w:sz w:val="20"/>
              </w:rPr>
              <w:t>OBH requires the MCOs to conduct monitoring reviews of SUD providers to ensure adherence to standards and guidelines on a quarterly basis</w:t>
            </w:r>
            <w:r w:rsidR="00883D8C" w:rsidRPr="00A34958">
              <w:rPr>
                <w:rFonts w:cstheme="minorHAnsi"/>
                <w:sz w:val="20"/>
              </w:rPr>
              <w:t>.</w:t>
            </w:r>
          </w:p>
        </w:tc>
      </w:tr>
      <w:tr w:rsidR="00396406" w:rsidRPr="00CA5CFA" w14:paraId="072848B8" w14:textId="77777777" w:rsidTr="00CC2FC2">
        <w:trPr>
          <w:cantSplit/>
          <w:trHeight w:val="233"/>
        </w:trPr>
        <w:tc>
          <w:tcPr>
            <w:tcW w:w="4945" w:type="dxa"/>
            <w:tcBorders>
              <w:bottom w:val="single" w:sz="4" w:space="0" w:color="DDE0E3" w:themeColor="accent3" w:themeTint="33"/>
            </w:tcBorders>
          </w:tcPr>
          <w:p w14:paraId="2454BDB3" w14:textId="77777777" w:rsidR="00396406" w:rsidRPr="00E60D72" w:rsidRDefault="00396406" w:rsidP="00396406">
            <w:pPr>
              <w:pStyle w:val="ListParagraph"/>
              <w:numPr>
                <w:ilvl w:val="0"/>
                <w:numId w:val="42"/>
              </w:numPr>
              <w:spacing w:before="40" w:after="40" w:line="240" w:lineRule="auto"/>
              <w:ind w:left="876" w:hanging="180"/>
              <w:rPr>
                <w:rFonts w:cstheme="minorHAnsi"/>
                <w:sz w:val="20"/>
              </w:rPr>
            </w:pPr>
            <w:r w:rsidRPr="00464BF8">
              <w:rPr>
                <w:rFonts w:cstheme="minorHAnsi"/>
                <w:sz w:val="20"/>
              </w:rPr>
              <w:t>Availability of medication</w:t>
            </w:r>
            <w:r>
              <w:rPr>
                <w:rFonts w:cstheme="minorHAnsi"/>
                <w:sz w:val="20"/>
              </w:rPr>
              <w:t>-</w:t>
            </w:r>
            <w:r w:rsidRPr="00464BF8">
              <w:rPr>
                <w:rFonts w:cstheme="minorHAnsi"/>
                <w:sz w:val="20"/>
              </w:rPr>
              <w:t>assisted treatment at residential treatment facilities, either on-site or through facilitated access to services off site</w:t>
            </w:r>
          </w:p>
        </w:tc>
        <w:tc>
          <w:tcPr>
            <w:tcW w:w="1440" w:type="dxa"/>
            <w:tcBorders>
              <w:bottom w:val="single" w:sz="4" w:space="0" w:color="DDE0E3" w:themeColor="accent3" w:themeTint="33"/>
            </w:tcBorders>
            <w:shd w:val="clear" w:color="auto" w:fill="auto"/>
          </w:tcPr>
          <w:p w14:paraId="61FE3831" w14:textId="6F3D9938" w:rsidR="00396406" w:rsidRPr="00A34958" w:rsidRDefault="00044DD2" w:rsidP="00396406">
            <w:pPr>
              <w:spacing w:before="40" w:after="40"/>
              <w:rPr>
                <w:rFonts w:cstheme="minorHAnsi"/>
                <w:i/>
                <w:sz w:val="20"/>
              </w:rPr>
            </w:pPr>
            <w:r w:rsidRPr="00A34958">
              <w:rPr>
                <w:rFonts w:cstheme="minorHAnsi"/>
                <w:iCs/>
                <w:sz w:val="20"/>
              </w:rPr>
              <w:t>X</w:t>
            </w:r>
          </w:p>
        </w:tc>
        <w:tc>
          <w:tcPr>
            <w:tcW w:w="1710" w:type="dxa"/>
            <w:tcBorders>
              <w:bottom w:val="single" w:sz="4" w:space="0" w:color="DDE0E3" w:themeColor="accent3" w:themeTint="33"/>
            </w:tcBorders>
            <w:shd w:val="clear" w:color="auto" w:fill="D9D9D9"/>
          </w:tcPr>
          <w:p w14:paraId="70BEAA88" w14:textId="14CDF040" w:rsidR="00396406" w:rsidRPr="00A34958" w:rsidRDefault="00396406" w:rsidP="00396406">
            <w:pPr>
              <w:spacing w:before="40" w:after="40"/>
              <w:rPr>
                <w:rFonts w:cstheme="minorHAnsi"/>
                <w:i/>
                <w:sz w:val="20"/>
              </w:rPr>
            </w:pPr>
          </w:p>
        </w:tc>
        <w:tc>
          <w:tcPr>
            <w:tcW w:w="4860" w:type="dxa"/>
            <w:tcBorders>
              <w:bottom w:val="single" w:sz="4" w:space="0" w:color="DDE0E3" w:themeColor="accent3" w:themeTint="33"/>
            </w:tcBorders>
          </w:tcPr>
          <w:p w14:paraId="5DA11179" w14:textId="388DCDD2" w:rsidR="00396406" w:rsidRPr="00A34958" w:rsidRDefault="00396406" w:rsidP="00044DD2">
            <w:pPr>
              <w:spacing w:before="40" w:after="40"/>
              <w:rPr>
                <w:rFonts w:cstheme="minorHAnsi"/>
                <w:sz w:val="20"/>
              </w:rPr>
            </w:pPr>
          </w:p>
        </w:tc>
      </w:tr>
      <w:tr w:rsidR="00396406" w:rsidRPr="00CA5CFA" w14:paraId="7C52E001" w14:textId="77777777" w:rsidTr="00CC2FC2">
        <w:trPr>
          <w:cantSplit/>
          <w:trHeight w:val="233"/>
        </w:trPr>
        <w:tc>
          <w:tcPr>
            <w:tcW w:w="4945" w:type="dxa"/>
            <w:tcBorders>
              <w:top w:val="single" w:sz="4" w:space="0" w:color="DDE0E3" w:themeColor="accent3" w:themeTint="33"/>
              <w:bottom w:val="single" w:sz="4" w:space="0" w:color="DDE0E3" w:themeColor="accent3" w:themeTint="33"/>
            </w:tcBorders>
          </w:tcPr>
          <w:p w14:paraId="2F7A74B1" w14:textId="77777777" w:rsidR="00396406" w:rsidRPr="00E60D72" w:rsidRDefault="00396406" w:rsidP="00396406">
            <w:pPr>
              <w:spacing w:before="40" w:after="40"/>
              <w:rPr>
                <w:rFonts w:cstheme="minorHAnsi"/>
                <w:color w:val="000000" w:themeColor="text1"/>
                <w:sz w:val="20"/>
              </w:rPr>
            </w:pPr>
            <w:r w:rsidRPr="00464BF8">
              <w:rPr>
                <w:rFonts w:cstheme="minorHAnsi"/>
                <w:sz w:val="20"/>
              </w:rPr>
              <w:t xml:space="preserve">4.2.2 The </w:t>
            </w:r>
            <w:r w:rsidRPr="00464BF8">
              <w:rPr>
                <w:rFonts w:cstheme="minorHAnsi"/>
                <w:color w:val="000000" w:themeColor="text1"/>
                <w:sz w:val="20"/>
              </w:rPr>
              <w:t xml:space="preserve">state expects to make other program changes that may affect metrics related to </w:t>
            </w:r>
            <w:r>
              <w:rPr>
                <w:rFonts w:cstheme="minorHAnsi"/>
                <w:color w:val="000000" w:themeColor="text1"/>
                <w:sz w:val="20"/>
              </w:rPr>
              <w:t>M</w:t>
            </w:r>
            <w:r w:rsidRPr="00464BF8">
              <w:rPr>
                <w:rFonts w:cstheme="minorHAnsi"/>
                <w:color w:val="000000" w:themeColor="text1"/>
                <w:sz w:val="20"/>
              </w:rPr>
              <w:t>ilestone 3</w:t>
            </w:r>
          </w:p>
        </w:tc>
        <w:tc>
          <w:tcPr>
            <w:tcW w:w="1440" w:type="dxa"/>
            <w:tcBorders>
              <w:top w:val="single" w:sz="4" w:space="0" w:color="DDE0E3" w:themeColor="accent3" w:themeTint="33"/>
              <w:bottom w:val="single" w:sz="4" w:space="0" w:color="DDE0E3" w:themeColor="accent3" w:themeTint="33"/>
            </w:tcBorders>
            <w:shd w:val="clear" w:color="auto" w:fill="auto"/>
          </w:tcPr>
          <w:p w14:paraId="07DB6679" w14:textId="2E76411D" w:rsidR="00396406" w:rsidRPr="00A34958" w:rsidRDefault="00883D8C" w:rsidP="00396406">
            <w:pPr>
              <w:spacing w:before="40" w:after="40"/>
              <w:ind w:right="-18"/>
              <w:rPr>
                <w:rFonts w:cstheme="minorHAnsi"/>
                <w:iCs/>
                <w:sz w:val="20"/>
              </w:rPr>
            </w:pPr>
            <w:r w:rsidRPr="00A34958">
              <w:rPr>
                <w:rFonts w:cstheme="minorHAnsi"/>
                <w:iCs/>
                <w:sz w:val="20"/>
              </w:rPr>
              <w:t>X</w:t>
            </w:r>
          </w:p>
        </w:tc>
        <w:tc>
          <w:tcPr>
            <w:tcW w:w="1710" w:type="dxa"/>
            <w:tcBorders>
              <w:top w:val="single" w:sz="4" w:space="0" w:color="DDE0E3" w:themeColor="accent3" w:themeTint="33"/>
              <w:bottom w:val="single" w:sz="4" w:space="0" w:color="DDE0E3" w:themeColor="accent3" w:themeTint="33"/>
            </w:tcBorders>
            <w:shd w:val="clear" w:color="auto" w:fill="D9D9D9"/>
          </w:tcPr>
          <w:p w14:paraId="06F6DDF8" w14:textId="54553C07" w:rsidR="00396406" w:rsidRPr="00A34958" w:rsidRDefault="00396406" w:rsidP="00396406">
            <w:pPr>
              <w:spacing w:before="40" w:after="40"/>
              <w:ind w:right="-18"/>
              <w:rPr>
                <w:rFonts w:cstheme="minorHAnsi"/>
                <w:i/>
                <w:sz w:val="20"/>
              </w:rPr>
            </w:pPr>
          </w:p>
        </w:tc>
        <w:tc>
          <w:tcPr>
            <w:tcW w:w="4860" w:type="dxa"/>
            <w:tcBorders>
              <w:top w:val="single" w:sz="4" w:space="0" w:color="DDE0E3" w:themeColor="accent3" w:themeTint="33"/>
              <w:bottom w:val="single" w:sz="4" w:space="0" w:color="DDE0E3" w:themeColor="accent3" w:themeTint="33"/>
            </w:tcBorders>
          </w:tcPr>
          <w:p w14:paraId="47AE1470" w14:textId="33440A8B" w:rsidR="00396406" w:rsidRPr="00A34958" w:rsidRDefault="00396406" w:rsidP="00396406">
            <w:pPr>
              <w:spacing w:before="40" w:after="40"/>
              <w:ind w:right="-18"/>
              <w:rPr>
                <w:rFonts w:cstheme="minorHAnsi"/>
                <w:i/>
                <w:sz w:val="20"/>
              </w:rPr>
            </w:pPr>
          </w:p>
        </w:tc>
      </w:tr>
      <w:tr w:rsidR="00396406" w:rsidRPr="00CA5CFA" w14:paraId="4EE83B75" w14:textId="77777777" w:rsidTr="00CC2FC2">
        <w:trPr>
          <w:cantSplit/>
          <w:trHeight w:val="220"/>
        </w:trPr>
        <w:tc>
          <w:tcPr>
            <w:tcW w:w="12955" w:type="dxa"/>
            <w:gridSpan w:val="4"/>
            <w:tcBorders>
              <w:top w:val="single" w:sz="4" w:space="0" w:color="DDE0E3" w:themeColor="accent3" w:themeTint="33"/>
            </w:tcBorders>
            <w:shd w:val="clear" w:color="auto" w:fill="D9D9D9"/>
          </w:tcPr>
          <w:p w14:paraId="126885F8" w14:textId="77777777" w:rsidR="00396406" w:rsidRPr="00464BF8" w:rsidRDefault="00396406" w:rsidP="00396406">
            <w:pPr>
              <w:pageBreakBefore/>
              <w:rPr>
                <w:rFonts w:cstheme="minorHAnsi"/>
                <w:b/>
                <w:color w:val="000000" w:themeColor="text1"/>
                <w:sz w:val="20"/>
              </w:rPr>
            </w:pPr>
            <w:r w:rsidRPr="00464BF8">
              <w:rPr>
                <w:rFonts w:cstheme="minorHAnsi"/>
                <w:b/>
                <w:color w:val="000000" w:themeColor="text1"/>
                <w:sz w:val="20"/>
              </w:rPr>
              <w:lastRenderedPageBreak/>
              <w:t>5. Sufficient Provider Capacity at Critical Levels of Care including for Medication</w:t>
            </w:r>
            <w:r>
              <w:rPr>
                <w:rFonts w:cstheme="minorHAnsi"/>
                <w:b/>
                <w:color w:val="000000" w:themeColor="text1"/>
                <w:sz w:val="20"/>
              </w:rPr>
              <w:t xml:space="preserve"> </w:t>
            </w:r>
            <w:r w:rsidRPr="00464BF8">
              <w:rPr>
                <w:rFonts w:cstheme="minorHAnsi"/>
                <w:b/>
                <w:color w:val="000000" w:themeColor="text1"/>
                <w:sz w:val="20"/>
              </w:rPr>
              <w:t>Assisted Treatment for OUD (Milestone 4)</w:t>
            </w:r>
          </w:p>
        </w:tc>
      </w:tr>
      <w:tr w:rsidR="00396406" w:rsidRPr="00CA5CFA" w14:paraId="64C00CB3" w14:textId="77777777" w:rsidTr="00CC2FC2">
        <w:trPr>
          <w:cantSplit/>
          <w:trHeight w:val="220"/>
        </w:trPr>
        <w:tc>
          <w:tcPr>
            <w:tcW w:w="12955" w:type="dxa"/>
            <w:gridSpan w:val="4"/>
            <w:shd w:val="clear" w:color="auto" w:fill="F2F2F2"/>
          </w:tcPr>
          <w:p w14:paraId="3E3DD278" w14:textId="77777777" w:rsidR="00396406" w:rsidRPr="00464BF8" w:rsidRDefault="00396406" w:rsidP="00396406">
            <w:pPr>
              <w:rPr>
                <w:rFonts w:cstheme="minorHAnsi"/>
                <w:b/>
                <w:sz w:val="20"/>
              </w:rPr>
            </w:pPr>
            <w:r w:rsidRPr="00464BF8">
              <w:rPr>
                <w:rFonts w:cstheme="minorHAnsi"/>
                <w:b/>
                <w:sz w:val="20"/>
              </w:rPr>
              <w:t>5.1 Metric trends</w:t>
            </w:r>
          </w:p>
        </w:tc>
      </w:tr>
      <w:tr w:rsidR="00883D8C" w:rsidRPr="00CA5CFA" w14:paraId="12E33C29" w14:textId="77777777" w:rsidTr="00CC2FC2">
        <w:trPr>
          <w:cantSplit/>
          <w:trHeight w:val="233"/>
        </w:trPr>
        <w:tc>
          <w:tcPr>
            <w:tcW w:w="4945" w:type="dxa"/>
          </w:tcPr>
          <w:p w14:paraId="36B41754" w14:textId="77777777" w:rsidR="00883D8C" w:rsidRPr="00E60D72" w:rsidRDefault="00883D8C" w:rsidP="00883D8C">
            <w:pPr>
              <w:spacing w:before="40" w:after="40"/>
              <w:rPr>
                <w:rFonts w:cstheme="minorHAnsi"/>
                <w:sz w:val="20"/>
              </w:rPr>
            </w:pPr>
            <w:r w:rsidRPr="00464BF8">
              <w:rPr>
                <w:rFonts w:cstheme="minorHAnsi"/>
                <w:iCs/>
                <w:sz w:val="20"/>
              </w:rPr>
              <w:t xml:space="preserve">5.1.1 The state </w:t>
            </w:r>
            <w:r w:rsidRPr="00464BF8">
              <w:rPr>
                <w:rFonts w:cstheme="minorHAnsi"/>
                <w:sz w:val="20"/>
              </w:rPr>
              <w:t xml:space="preserve">reports the following metric trends, including all changes (+ or -) greater than 2 percent related to </w:t>
            </w:r>
            <w:r>
              <w:rPr>
                <w:rFonts w:cstheme="minorHAnsi"/>
                <w:sz w:val="20"/>
              </w:rPr>
              <w:t>M</w:t>
            </w:r>
            <w:r w:rsidRPr="00464BF8">
              <w:rPr>
                <w:rFonts w:cstheme="minorHAnsi"/>
                <w:sz w:val="20"/>
              </w:rPr>
              <w:t>ilestone 4</w:t>
            </w:r>
          </w:p>
        </w:tc>
        <w:tc>
          <w:tcPr>
            <w:tcW w:w="1440" w:type="dxa"/>
          </w:tcPr>
          <w:p w14:paraId="35EFC55C" w14:textId="2EAED2B2" w:rsidR="00883D8C" w:rsidRPr="000A7EF9" w:rsidRDefault="000A7EF9" w:rsidP="00883D8C">
            <w:pPr>
              <w:spacing w:before="40" w:after="40"/>
              <w:rPr>
                <w:rFonts w:cstheme="minorHAnsi"/>
                <w:sz w:val="20"/>
              </w:rPr>
            </w:pPr>
            <w:r>
              <w:rPr>
                <w:rFonts w:cstheme="minorHAnsi"/>
                <w:sz w:val="20"/>
              </w:rPr>
              <w:t>X</w:t>
            </w:r>
          </w:p>
        </w:tc>
        <w:tc>
          <w:tcPr>
            <w:tcW w:w="1710" w:type="dxa"/>
          </w:tcPr>
          <w:p w14:paraId="4A733E14" w14:textId="1C382824" w:rsidR="00AF3A81" w:rsidRPr="00A34958" w:rsidRDefault="00AF3A81" w:rsidP="00814924">
            <w:pPr>
              <w:spacing w:line="240" w:lineRule="auto"/>
              <w:rPr>
                <w:rFonts w:cstheme="minorHAnsi"/>
                <w:sz w:val="20"/>
              </w:rPr>
            </w:pPr>
          </w:p>
        </w:tc>
        <w:tc>
          <w:tcPr>
            <w:tcW w:w="4860" w:type="dxa"/>
          </w:tcPr>
          <w:p w14:paraId="42214F12" w14:textId="224DC2D5" w:rsidR="00AF3A81" w:rsidRPr="00A34958" w:rsidRDefault="00AF3A81" w:rsidP="00AF3A81">
            <w:pPr>
              <w:spacing w:line="240" w:lineRule="auto"/>
              <w:rPr>
                <w:rFonts w:cstheme="minorHAnsi"/>
                <w:iCs/>
                <w:sz w:val="20"/>
                <w:lang w:bidi="en-US"/>
              </w:rPr>
            </w:pPr>
          </w:p>
        </w:tc>
      </w:tr>
      <w:tr w:rsidR="00396406" w:rsidRPr="00CA5CFA" w14:paraId="189723BD" w14:textId="77777777" w:rsidTr="00CC2FC2">
        <w:trPr>
          <w:cantSplit/>
          <w:trHeight w:val="220"/>
        </w:trPr>
        <w:tc>
          <w:tcPr>
            <w:tcW w:w="12955" w:type="dxa"/>
            <w:gridSpan w:val="4"/>
            <w:shd w:val="clear" w:color="auto" w:fill="F2F2F2"/>
          </w:tcPr>
          <w:p w14:paraId="3287A379" w14:textId="77777777" w:rsidR="00396406" w:rsidRPr="00464BF8" w:rsidRDefault="00396406" w:rsidP="00396406">
            <w:pPr>
              <w:rPr>
                <w:rFonts w:cstheme="minorHAnsi"/>
                <w:b/>
                <w:sz w:val="20"/>
              </w:rPr>
            </w:pPr>
            <w:r w:rsidRPr="00464BF8">
              <w:rPr>
                <w:rFonts w:cstheme="minorHAnsi"/>
                <w:b/>
                <w:sz w:val="20"/>
              </w:rPr>
              <w:t>5.2 Implementation update</w:t>
            </w:r>
          </w:p>
        </w:tc>
      </w:tr>
      <w:tr w:rsidR="00396406" w:rsidRPr="00CA5CFA" w14:paraId="3C8DDF1F" w14:textId="77777777" w:rsidTr="00CC2FC2">
        <w:trPr>
          <w:cantSplit/>
          <w:trHeight w:val="233"/>
        </w:trPr>
        <w:tc>
          <w:tcPr>
            <w:tcW w:w="4945" w:type="dxa"/>
          </w:tcPr>
          <w:p w14:paraId="7942C7C6" w14:textId="77777777" w:rsidR="00396406" w:rsidRPr="00464BF8" w:rsidRDefault="00396406" w:rsidP="00396406">
            <w:pPr>
              <w:spacing w:before="40" w:after="40"/>
              <w:rPr>
                <w:rFonts w:cstheme="minorHAnsi"/>
                <w:sz w:val="20"/>
              </w:rPr>
            </w:pPr>
            <w:bookmarkStart w:id="13" w:name="_Hlk38039792"/>
            <w:r w:rsidRPr="00464BF8">
              <w:rPr>
                <w:rFonts w:cstheme="minorHAnsi"/>
                <w:sz w:val="20"/>
              </w:rPr>
              <w:t>5.2.1 Compared to the demonstration design and operational details, the state expects to make the following changes to:</w:t>
            </w:r>
          </w:p>
          <w:p w14:paraId="11F6E707" w14:textId="77777777" w:rsidR="00396406" w:rsidRPr="00464BF8" w:rsidRDefault="00396406" w:rsidP="00396406">
            <w:pPr>
              <w:spacing w:before="40" w:after="40"/>
              <w:rPr>
                <w:rFonts w:cstheme="minorHAnsi"/>
                <w:sz w:val="20"/>
              </w:rPr>
            </w:pPr>
            <w:r w:rsidRPr="00464BF8">
              <w:rPr>
                <w:rFonts w:cstheme="minorHAnsi"/>
                <w:sz w:val="20"/>
              </w:rPr>
              <w:t>Planned activities to assess the availability of providers enrolled in Medicaid and accepting new patients in across the continuum of SUD care</w:t>
            </w:r>
          </w:p>
        </w:tc>
        <w:tc>
          <w:tcPr>
            <w:tcW w:w="1440" w:type="dxa"/>
            <w:shd w:val="clear" w:color="auto" w:fill="auto"/>
          </w:tcPr>
          <w:p w14:paraId="4809A0D4" w14:textId="16BA953D" w:rsidR="00396406" w:rsidRPr="00A34958" w:rsidRDefault="00883D8C" w:rsidP="00396406">
            <w:pPr>
              <w:spacing w:before="40" w:after="40"/>
              <w:rPr>
                <w:rFonts w:cstheme="minorHAnsi"/>
                <w:sz w:val="20"/>
              </w:rPr>
            </w:pPr>
            <w:r w:rsidRPr="00A34958">
              <w:rPr>
                <w:rFonts w:cstheme="minorHAnsi"/>
                <w:sz w:val="20"/>
              </w:rPr>
              <w:t>X</w:t>
            </w:r>
          </w:p>
        </w:tc>
        <w:tc>
          <w:tcPr>
            <w:tcW w:w="1710" w:type="dxa"/>
            <w:shd w:val="clear" w:color="auto" w:fill="D9D9D9"/>
          </w:tcPr>
          <w:p w14:paraId="346BC214" w14:textId="77777777" w:rsidR="00396406" w:rsidRPr="00A34958" w:rsidRDefault="00396406" w:rsidP="00396406">
            <w:pPr>
              <w:spacing w:before="40" w:after="40"/>
              <w:rPr>
                <w:rFonts w:cstheme="minorHAnsi"/>
                <w:i/>
                <w:sz w:val="20"/>
              </w:rPr>
            </w:pPr>
            <w:r w:rsidRPr="00A34958">
              <w:rPr>
                <w:rFonts w:cstheme="minorHAnsi"/>
                <w:iCs/>
                <w:sz w:val="20"/>
              </w:rPr>
              <w:t xml:space="preserve"> </w:t>
            </w:r>
          </w:p>
        </w:tc>
        <w:tc>
          <w:tcPr>
            <w:tcW w:w="4860" w:type="dxa"/>
          </w:tcPr>
          <w:p w14:paraId="250143AC" w14:textId="5FE030EE" w:rsidR="00396406" w:rsidRPr="00A34958" w:rsidRDefault="00396406" w:rsidP="00D3178D">
            <w:pPr>
              <w:spacing w:before="40" w:after="40"/>
              <w:rPr>
                <w:rFonts w:cstheme="minorHAnsi"/>
                <w:i/>
                <w:sz w:val="20"/>
              </w:rPr>
            </w:pPr>
          </w:p>
        </w:tc>
      </w:tr>
      <w:bookmarkEnd w:id="13"/>
      <w:tr w:rsidR="00396406" w:rsidRPr="00CA5CFA" w14:paraId="02CE7612" w14:textId="77777777" w:rsidTr="00CC2FC2">
        <w:trPr>
          <w:cantSplit/>
          <w:trHeight w:val="233"/>
        </w:trPr>
        <w:tc>
          <w:tcPr>
            <w:tcW w:w="4945" w:type="dxa"/>
          </w:tcPr>
          <w:p w14:paraId="29B58699" w14:textId="77777777" w:rsidR="00396406" w:rsidRPr="00E60D72" w:rsidRDefault="00396406" w:rsidP="00396406">
            <w:pPr>
              <w:spacing w:before="40" w:after="40"/>
              <w:rPr>
                <w:rFonts w:cstheme="minorHAnsi"/>
                <w:sz w:val="20"/>
              </w:rPr>
            </w:pPr>
            <w:r w:rsidRPr="00464BF8">
              <w:rPr>
                <w:rFonts w:cstheme="minorHAnsi"/>
                <w:color w:val="000000" w:themeColor="text1"/>
                <w:sz w:val="20"/>
              </w:rPr>
              <w:t xml:space="preserve">5.2.2 The </w:t>
            </w:r>
            <w:r w:rsidRPr="00464BF8">
              <w:rPr>
                <w:rFonts w:cstheme="minorHAnsi"/>
                <w:sz w:val="20"/>
              </w:rPr>
              <w:t xml:space="preserve">state expects to make other program changes that may affect metrics related to </w:t>
            </w:r>
            <w:r>
              <w:rPr>
                <w:rFonts w:cstheme="minorHAnsi"/>
                <w:sz w:val="20"/>
              </w:rPr>
              <w:t>M</w:t>
            </w:r>
            <w:r w:rsidRPr="00464BF8">
              <w:rPr>
                <w:rFonts w:cstheme="minorHAnsi"/>
                <w:sz w:val="20"/>
              </w:rPr>
              <w:t>ilestone 4</w:t>
            </w:r>
          </w:p>
        </w:tc>
        <w:tc>
          <w:tcPr>
            <w:tcW w:w="1440" w:type="dxa"/>
            <w:shd w:val="clear" w:color="auto" w:fill="auto"/>
          </w:tcPr>
          <w:p w14:paraId="33F9695C" w14:textId="22FBEF09" w:rsidR="00396406" w:rsidRPr="00A34958" w:rsidRDefault="00883D8C" w:rsidP="00396406">
            <w:pPr>
              <w:spacing w:before="40" w:after="40"/>
              <w:rPr>
                <w:rFonts w:cstheme="minorHAnsi"/>
                <w:i/>
                <w:sz w:val="20"/>
              </w:rPr>
            </w:pPr>
            <w:r w:rsidRPr="00A34958">
              <w:rPr>
                <w:rFonts w:cstheme="minorHAnsi"/>
                <w:iCs/>
                <w:sz w:val="20"/>
              </w:rPr>
              <w:t>X</w:t>
            </w:r>
          </w:p>
        </w:tc>
        <w:tc>
          <w:tcPr>
            <w:tcW w:w="1710" w:type="dxa"/>
            <w:shd w:val="clear" w:color="auto" w:fill="D9D9D9"/>
          </w:tcPr>
          <w:p w14:paraId="024BB6BB" w14:textId="77777777" w:rsidR="00396406" w:rsidRPr="00A34958" w:rsidRDefault="00396406" w:rsidP="00396406">
            <w:pPr>
              <w:spacing w:before="40" w:after="40"/>
              <w:rPr>
                <w:rFonts w:cstheme="minorHAnsi"/>
                <w:i/>
                <w:sz w:val="20"/>
              </w:rPr>
            </w:pPr>
            <w:r w:rsidRPr="00A34958">
              <w:rPr>
                <w:rFonts w:cstheme="minorHAnsi"/>
                <w:iCs/>
                <w:sz w:val="20"/>
              </w:rPr>
              <w:t xml:space="preserve"> </w:t>
            </w:r>
          </w:p>
        </w:tc>
        <w:tc>
          <w:tcPr>
            <w:tcW w:w="4860" w:type="dxa"/>
          </w:tcPr>
          <w:p w14:paraId="2DADE246" w14:textId="1AE3F3B0" w:rsidR="00396406" w:rsidRPr="00A34958" w:rsidRDefault="00396406" w:rsidP="00396406">
            <w:pPr>
              <w:spacing w:before="40" w:after="40"/>
              <w:rPr>
                <w:rFonts w:cstheme="minorHAnsi"/>
                <w:i/>
                <w:sz w:val="20"/>
              </w:rPr>
            </w:pPr>
          </w:p>
        </w:tc>
      </w:tr>
      <w:tr w:rsidR="00396406" w:rsidRPr="00CA5CFA" w14:paraId="64135E59" w14:textId="77777777" w:rsidTr="00CC2FC2">
        <w:trPr>
          <w:cantSplit/>
          <w:trHeight w:val="220"/>
        </w:trPr>
        <w:tc>
          <w:tcPr>
            <w:tcW w:w="12955" w:type="dxa"/>
            <w:gridSpan w:val="4"/>
            <w:shd w:val="clear" w:color="auto" w:fill="D9D9D9"/>
          </w:tcPr>
          <w:p w14:paraId="45944477" w14:textId="77777777" w:rsidR="00396406" w:rsidRPr="00464BF8" w:rsidRDefault="00396406" w:rsidP="00396406">
            <w:pPr>
              <w:rPr>
                <w:rFonts w:cstheme="minorHAnsi"/>
                <w:b/>
                <w:i/>
                <w:color w:val="000000" w:themeColor="text1"/>
                <w:sz w:val="20"/>
              </w:rPr>
            </w:pPr>
            <w:r w:rsidRPr="00464BF8">
              <w:rPr>
                <w:rFonts w:cstheme="minorHAnsi"/>
                <w:b/>
                <w:color w:val="000000" w:themeColor="text1"/>
                <w:sz w:val="20"/>
              </w:rPr>
              <w:t>6. Implementation of Comprehensive Treatment and Prevention Strategies to Address Opioid Abuse and OUD (Milestone 5)</w:t>
            </w:r>
          </w:p>
        </w:tc>
      </w:tr>
      <w:tr w:rsidR="00396406" w:rsidRPr="00CA5CFA" w14:paraId="5DBE0931" w14:textId="77777777" w:rsidTr="00CC2FC2">
        <w:trPr>
          <w:cantSplit/>
          <w:trHeight w:val="220"/>
        </w:trPr>
        <w:tc>
          <w:tcPr>
            <w:tcW w:w="12955" w:type="dxa"/>
            <w:gridSpan w:val="4"/>
            <w:shd w:val="clear" w:color="auto" w:fill="F2F2F2"/>
          </w:tcPr>
          <w:p w14:paraId="56177A5C" w14:textId="77777777" w:rsidR="00396406" w:rsidRPr="00464BF8" w:rsidRDefault="00396406" w:rsidP="00396406">
            <w:pPr>
              <w:rPr>
                <w:rFonts w:cstheme="minorHAnsi"/>
                <w:b/>
                <w:sz w:val="20"/>
              </w:rPr>
            </w:pPr>
            <w:r w:rsidRPr="00464BF8">
              <w:rPr>
                <w:rFonts w:cstheme="minorHAnsi"/>
                <w:b/>
                <w:sz w:val="20"/>
              </w:rPr>
              <w:t>6.1 Metric trends</w:t>
            </w:r>
          </w:p>
        </w:tc>
      </w:tr>
      <w:tr w:rsidR="00396406" w:rsidRPr="00CA5CFA" w14:paraId="1720BD26" w14:textId="77777777" w:rsidTr="00CC2FC2">
        <w:trPr>
          <w:cantSplit/>
          <w:trHeight w:val="220"/>
        </w:trPr>
        <w:tc>
          <w:tcPr>
            <w:tcW w:w="4945" w:type="dxa"/>
            <w:tcBorders>
              <w:bottom w:val="single" w:sz="4" w:space="0" w:color="DDE0E3" w:themeColor="accent3" w:themeTint="33"/>
            </w:tcBorders>
          </w:tcPr>
          <w:p w14:paraId="5E737A9C" w14:textId="77777777" w:rsidR="00396406" w:rsidRPr="00E60D72" w:rsidRDefault="00396406" w:rsidP="00396406">
            <w:pPr>
              <w:spacing w:before="40" w:after="40"/>
              <w:rPr>
                <w:rFonts w:cstheme="minorHAnsi"/>
                <w:sz w:val="20"/>
              </w:rPr>
            </w:pPr>
            <w:r w:rsidRPr="00464BF8">
              <w:rPr>
                <w:rFonts w:cstheme="minorHAnsi"/>
                <w:color w:val="000000" w:themeColor="text1"/>
                <w:sz w:val="20"/>
              </w:rPr>
              <w:t xml:space="preserve">6.1 The </w:t>
            </w:r>
            <w:r w:rsidRPr="00464BF8">
              <w:rPr>
                <w:rFonts w:cstheme="minorHAnsi"/>
                <w:sz w:val="20"/>
              </w:rPr>
              <w:t xml:space="preserve">state reports the following metric trends, including all changes (+ or -) greater than 2 percent related to </w:t>
            </w:r>
            <w:r>
              <w:rPr>
                <w:rFonts w:cstheme="minorHAnsi"/>
                <w:sz w:val="20"/>
              </w:rPr>
              <w:t>M</w:t>
            </w:r>
            <w:r w:rsidRPr="00464BF8">
              <w:rPr>
                <w:rFonts w:cstheme="minorHAnsi"/>
                <w:sz w:val="20"/>
              </w:rPr>
              <w:t>ilestone 5</w:t>
            </w:r>
          </w:p>
        </w:tc>
        <w:tc>
          <w:tcPr>
            <w:tcW w:w="1440" w:type="dxa"/>
            <w:tcBorders>
              <w:bottom w:val="single" w:sz="4" w:space="0" w:color="DDE0E3" w:themeColor="accent3" w:themeTint="33"/>
            </w:tcBorders>
          </w:tcPr>
          <w:p w14:paraId="0F339C66" w14:textId="49BE5742" w:rsidR="00396406" w:rsidRPr="00A34958" w:rsidRDefault="00396406" w:rsidP="00396406">
            <w:pPr>
              <w:spacing w:before="40" w:after="40"/>
              <w:ind w:right="-18"/>
              <w:rPr>
                <w:rFonts w:cstheme="minorHAnsi"/>
                <w:i/>
                <w:sz w:val="20"/>
              </w:rPr>
            </w:pPr>
          </w:p>
        </w:tc>
        <w:tc>
          <w:tcPr>
            <w:tcW w:w="1710" w:type="dxa"/>
            <w:tcBorders>
              <w:bottom w:val="single" w:sz="4" w:space="0" w:color="DDE0E3" w:themeColor="accent3" w:themeTint="33"/>
            </w:tcBorders>
          </w:tcPr>
          <w:p w14:paraId="4A03B3D8" w14:textId="5A93589D" w:rsidR="00AF3A81" w:rsidRPr="000A7EF9" w:rsidRDefault="00AF3A81" w:rsidP="00714F53">
            <w:pPr>
              <w:spacing w:line="240" w:lineRule="auto"/>
              <w:ind w:right="-14"/>
              <w:rPr>
                <w:rFonts w:cstheme="minorHAnsi"/>
                <w:iCs/>
                <w:sz w:val="20"/>
              </w:rPr>
            </w:pPr>
            <w:r w:rsidRPr="00A34958">
              <w:rPr>
                <w:rFonts w:cstheme="minorHAnsi"/>
                <w:iCs/>
                <w:sz w:val="20"/>
              </w:rPr>
              <w:t>23</w:t>
            </w:r>
          </w:p>
        </w:tc>
        <w:tc>
          <w:tcPr>
            <w:tcW w:w="4860" w:type="dxa"/>
            <w:tcBorders>
              <w:bottom w:val="single" w:sz="4" w:space="0" w:color="DDE0E3" w:themeColor="accent3" w:themeTint="33"/>
            </w:tcBorders>
          </w:tcPr>
          <w:p w14:paraId="1EAAD749" w14:textId="48777B12" w:rsidR="008C372F" w:rsidRPr="00714F53" w:rsidRDefault="00044DD2" w:rsidP="008C372F">
            <w:pPr>
              <w:rPr>
                <w:sz w:val="20"/>
              </w:rPr>
            </w:pPr>
            <w:r w:rsidRPr="00A34958">
              <w:rPr>
                <w:sz w:val="20"/>
              </w:rPr>
              <w:t xml:space="preserve">The rate per thousand </w:t>
            </w:r>
            <w:r w:rsidR="00BA78D7">
              <w:rPr>
                <w:sz w:val="20"/>
              </w:rPr>
              <w:t>increased</w:t>
            </w:r>
            <w:r w:rsidR="00BA78D7" w:rsidRPr="00A34958">
              <w:rPr>
                <w:sz w:val="20"/>
              </w:rPr>
              <w:t xml:space="preserve"> </w:t>
            </w:r>
            <w:r w:rsidRPr="00A34958">
              <w:rPr>
                <w:sz w:val="20"/>
              </w:rPr>
              <w:t xml:space="preserve">from </w:t>
            </w:r>
            <w:r>
              <w:rPr>
                <w:sz w:val="20"/>
              </w:rPr>
              <w:t>2.</w:t>
            </w:r>
            <w:r w:rsidR="008C372F">
              <w:rPr>
                <w:sz w:val="20"/>
              </w:rPr>
              <w:t>47</w:t>
            </w:r>
            <w:r w:rsidRPr="00A34958">
              <w:rPr>
                <w:sz w:val="20"/>
              </w:rPr>
              <w:t xml:space="preserve"> to 2.</w:t>
            </w:r>
            <w:r w:rsidR="008C372F">
              <w:rPr>
                <w:sz w:val="20"/>
              </w:rPr>
              <w:t>91</w:t>
            </w:r>
            <w:r w:rsidRPr="00A34958">
              <w:rPr>
                <w:sz w:val="20"/>
              </w:rPr>
              <w:t xml:space="preserve"> for metric 23-Emergency Department Utilization over this quarterly comparison period.  The </w:t>
            </w:r>
            <w:r w:rsidR="008C372F">
              <w:rPr>
                <w:sz w:val="20"/>
              </w:rPr>
              <w:t>0.44%</w:t>
            </w:r>
            <w:r w:rsidRPr="00A34958">
              <w:rPr>
                <w:sz w:val="20"/>
              </w:rPr>
              <w:t xml:space="preserve"> </w:t>
            </w:r>
            <w:r w:rsidR="008C372F">
              <w:rPr>
                <w:sz w:val="20"/>
              </w:rPr>
              <w:t>in</w:t>
            </w:r>
            <w:r w:rsidRPr="00A34958">
              <w:rPr>
                <w:sz w:val="20"/>
              </w:rPr>
              <w:t>crease in the rate per 1,000 Medicaid beneficiaries</w:t>
            </w:r>
            <w:r w:rsidR="008C372F">
              <w:rPr>
                <w:sz w:val="20"/>
              </w:rPr>
              <w:t>.</w:t>
            </w:r>
            <w:r w:rsidRPr="00A34958">
              <w:rPr>
                <w:sz w:val="20"/>
              </w:rPr>
              <w:t xml:space="preserve"> </w:t>
            </w:r>
            <w:r w:rsidR="008C372F" w:rsidRPr="00A34958">
              <w:rPr>
                <w:sz w:val="20"/>
              </w:rPr>
              <w:t xml:space="preserve">Factors contributing to this </w:t>
            </w:r>
            <w:r w:rsidR="008C372F">
              <w:rPr>
                <w:sz w:val="20"/>
              </w:rPr>
              <w:t xml:space="preserve">increase </w:t>
            </w:r>
            <w:r w:rsidR="008C372F" w:rsidRPr="00714F53">
              <w:rPr>
                <w:sz w:val="20"/>
              </w:rPr>
              <w:t>in percent change is the result of data pull logic modifications related to our same provider deviation and date of service used for inclusion in reporting period.</w:t>
            </w:r>
          </w:p>
          <w:p w14:paraId="0B17478E" w14:textId="5FF0FCA7" w:rsidR="00AF3A81" w:rsidRPr="000A7EF9" w:rsidRDefault="00AF3A81" w:rsidP="000A7EF9">
            <w:pPr>
              <w:spacing w:line="240" w:lineRule="auto"/>
              <w:ind w:right="-14"/>
              <w:rPr>
                <w:sz w:val="20"/>
              </w:rPr>
            </w:pPr>
          </w:p>
        </w:tc>
      </w:tr>
      <w:tr w:rsidR="00396406" w:rsidRPr="00CA5CFA" w14:paraId="03FEA674" w14:textId="77777777" w:rsidTr="00CC2FC2">
        <w:trPr>
          <w:cantSplit/>
          <w:trHeight w:val="220"/>
        </w:trPr>
        <w:tc>
          <w:tcPr>
            <w:tcW w:w="12955" w:type="dxa"/>
            <w:gridSpan w:val="4"/>
            <w:tcBorders>
              <w:top w:val="single" w:sz="4" w:space="0" w:color="DDE0E3" w:themeColor="accent3" w:themeTint="33"/>
              <w:bottom w:val="single" w:sz="4" w:space="0" w:color="DDE0E3" w:themeColor="accent3" w:themeTint="33"/>
            </w:tcBorders>
            <w:shd w:val="clear" w:color="auto" w:fill="F2F2F2"/>
          </w:tcPr>
          <w:p w14:paraId="5E0514DF" w14:textId="77777777" w:rsidR="00396406" w:rsidRPr="00464BF8" w:rsidRDefault="00396406" w:rsidP="00396406">
            <w:pPr>
              <w:ind w:right="-18"/>
              <w:rPr>
                <w:rFonts w:cstheme="minorHAnsi"/>
                <w:bCs/>
                <w:sz w:val="20"/>
              </w:rPr>
            </w:pPr>
            <w:r w:rsidRPr="00464BF8">
              <w:rPr>
                <w:rFonts w:cstheme="minorHAnsi"/>
                <w:b/>
                <w:sz w:val="20"/>
              </w:rPr>
              <w:t>6.2 Implementation update</w:t>
            </w:r>
          </w:p>
        </w:tc>
      </w:tr>
      <w:tr w:rsidR="00396406" w:rsidRPr="00CA5CFA" w14:paraId="1926029F" w14:textId="77777777" w:rsidTr="0030710E">
        <w:trPr>
          <w:cantSplit/>
          <w:trHeight w:val="220"/>
        </w:trPr>
        <w:tc>
          <w:tcPr>
            <w:tcW w:w="4945" w:type="dxa"/>
            <w:tcBorders>
              <w:top w:val="single" w:sz="4" w:space="0" w:color="DDE0E3" w:themeColor="accent3" w:themeTint="33"/>
              <w:bottom w:val="single" w:sz="4" w:space="0" w:color="DDE0E3" w:themeColor="accent3" w:themeTint="33"/>
            </w:tcBorders>
          </w:tcPr>
          <w:p w14:paraId="5B4451C8" w14:textId="77777777" w:rsidR="00396406" w:rsidRPr="00464BF8" w:rsidRDefault="00396406" w:rsidP="00396406">
            <w:pPr>
              <w:spacing w:before="40" w:after="40"/>
              <w:rPr>
                <w:rFonts w:cstheme="minorHAnsi"/>
                <w:sz w:val="20"/>
              </w:rPr>
            </w:pPr>
            <w:r w:rsidRPr="00464BF8">
              <w:rPr>
                <w:rFonts w:cstheme="minorHAnsi"/>
                <w:sz w:val="20"/>
              </w:rPr>
              <w:lastRenderedPageBreak/>
              <w:t xml:space="preserve">6.2.1 Compared to the demonstration design and operational details, the state expects to make the following changes to: </w:t>
            </w:r>
          </w:p>
          <w:p w14:paraId="670254D9" w14:textId="77777777" w:rsidR="00396406" w:rsidRPr="00464BF8" w:rsidRDefault="00396406" w:rsidP="00396406">
            <w:pPr>
              <w:pStyle w:val="ListParagraph"/>
              <w:numPr>
                <w:ilvl w:val="0"/>
                <w:numId w:val="43"/>
              </w:numPr>
              <w:spacing w:before="40" w:after="40" w:line="240" w:lineRule="auto"/>
              <w:ind w:left="876" w:hanging="180"/>
              <w:rPr>
                <w:rFonts w:cstheme="minorHAnsi"/>
                <w:sz w:val="20"/>
              </w:rPr>
            </w:pPr>
            <w:r w:rsidRPr="00464BF8">
              <w:rPr>
                <w:rFonts w:cstheme="minorHAnsi"/>
                <w:sz w:val="20"/>
              </w:rPr>
              <w:t>Implementation of opioid prescribing guidelines and other interventions related to prevention of OUD</w:t>
            </w:r>
          </w:p>
        </w:tc>
        <w:tc>
          <w:tcPr>
            <w:tcW w:w="1440" w:type="dxa"/>
            <w:tcBorders>
              <w:top w:val="single" w:sz="4" w:space="0" w:color="DDE0E3" w:themeColor="accent3" w:themeTint="33"/>
              <w:bottom w:val="single" w:sz="4" w:space="0" w:color="DDE0E3" w:themeColor="accent3" w:themeTint="33"/>
            </w:tcBorders>
            <w:shd w:val="clear" w:color="auto" w:fill="auto"/>
          </w:tcPr>
          <w:p w14:paraId="5F7DF7F3" w14:textId="36EDDCB4" w:rsidR="00396406" w:rsidRPr="00A34958" w:rsidRDefault="00883D8C" w:rsidP="00396406">
            <w:pPr>
              <w:spacing w:before="40" w:after="40"/>
              <w:ind w:right="-18"/>
              <w:rPr>
                <w:rFonts w:cstheme="minorHAnsi"/>
                <w:i/>
                <w:sz w:val="20"/>
              </w:rPr>
            </w:pPr>
            <w:r w:rsidRPr="00A34958">
              <w:rPr>
                <w:rFonts w:cstheme="minorHAnsi"/>
                <w:iCs/>
                <w:sz w:val="20"/>
              </w:rPr>
              <w:t>X</w:t>
            </w:r>
          </w:p>
        </w:tc>
        <w:tc>
          <w:tcPr>
            <w:tcW w:w="1710" w:type="dxa"/>
            <w:tcBorders>
              <w:top w:val="single" w:sz="4" w:space="0" w:color="DDE0E3" w:themeColor="accent3" w:themeTint="33"/>
              <w:bottom w:val="single" w:sz="4" w:space="0" w:color="DDE0E3" w:themeColor="accent3" w:themeTint="33"/>
            </w:tcBorders>
            <w:shd w:val="clear" w:color="auto" w:fill="D9D9D9"/>
          </w:tcPr>
          <w:p w14:paraId="7E9E0D6D" w14:textId="77777777" w:rsidR="00396406" w:rsidRPr="00464BF8" w:rsidRDefault="00396406" w:rsidP="00396406">
            <w:pPr>
              <w:spacing w:before="40" w:after="40"/>
              <w:ind w:right="-18"/>
              <w:rPr>
                <w:rFonts w:cstheme="minorHAnsi"/>
                <w:i/>
                <w:color w:val="646464"/>
                <w:sz w:val="20"/>
              </w:rPr>
            </w:pPr>
            <w:r w:rsidRPr="00464BF8">
              <w:rPr>
                <w:rFonts w:cstheme="minorHAnsi"/>
                <w:iCs/>
                <w:color w:val="646464"/>
                <w:sz w:val="20"/>
              </w:rPr>
              <w:t xml:space="preserve"> </w:t>
            </w:r>
          </w:p>
        </w:tc>
        <w:tc>
          <w:tcPr>
            <w:tcW w:w="4860" w:type="dxa"/>
            <w:tcBorders>
              <w:top w:val="single" w:sz="4" w:space="0" w:color="DDE0E3" w:themeColor="accent3" w:themeTint="33"/>
              <w:bottom w:val="single" w:sz="4" w:space="0" w:color="DDE0E3" w:themeColor="accent3" w:themeTint="33"/>
            </w:tcBorders>
          </w:tcPr>
          <w:p w14:paraId="1075FADF" w14:textId="77777777" w:rsidR="00396406" w:rsidRPr="00464BF8" w:rsidRDefault="00396406" w:rsidP="00396406">
            <w:pPr>
              <w:spacing w:before="40" w:after="40"/>
              <w:ind w:right="-18"/>
              <w:rPr>
                <w:rFonts w:cstheme="minorHAnsi"/>
                <w:i/>
                <w:color w:val="646464"/>
                <w:sz w:val="20"/>
              </w:rPr>
            </w:pPr>
            <w:r w:rsidRPr="00464BF8">
              <w:rPr>
                <w:rFonts w:cstheme="minorHAnsi"/>
                <w:iCs/>
                <w:color w:val="646464"/>
                <w:sz w:val="20"/>
              </w:rPr>
              <w:t xml:space="preserve"> </w:t>
            </w:r>
          </w:p>
        </w:tc>
      </w:tr>
      <w:tr w:rsidR="00396406" w:rsidRPr="00CA5CFA" w14:paraId="24B8A417" w14:textId="77777777" w:rsidTr="0030710E">
        <w:trPr>
          <w:cantSplit/>
          <w:trHeight w:val="220"/>
        </w:trPr>
        <w:tc>
          <w:tcPr>
            <w:tcW w:w="4945" w:type="dxa"/>
            <w:tcBorders>
              <w:top w:val="single" w:sz="4" w:space="0" w:color="DDE0E3" w:themeColor="accent3" w:themeTint="33"/>
              <w:left w:val="single" w:sz="4" w:space="0" w:color="auto"/>
              <w:bottom w:val="single" w:sz="4" w:space="0" w:color="DDE0E3" w:themeColor="accent3" w:themeTint="33"/>
            </w:tcBorders>
          </w:tcPr>
          <w:p w14:paraId="623F5DC9" w14:textId="77777777" w:rsidR="00396406" w:rsidRPr="00464BF8" w:rsidRDefault="00396406" w:rsidP="00396406">
            <w:pPr>
              <w:pStyle w:val="ListParagraph"/>
              <w:numPr>
                <w:ilvl w:val="0"/>
                <w:numId w:val="43"/>
              </w:numPr>
              <w:spacing w:before="40" w:after="40" w:line="240" w:lineRule="auto"/>
              <w:ind w:left="876" w:hanging="180"/>
              <w:rPr>
                <w:rFonts w:cstheme="minorHAnsi"/>
                <w:sz w:val="20"/>
              </w:rPr>
            </w:pPr>
            <w:r w:rsidRPr="00464BF8">
              <w:rPr>
                <w:rFonts w:cstheme="minorHAnsi"/>
                <w:sz w:val="20"/>
              </w:rPr>
              <w:t>Expansion of coverage for and access to naloxone</w:t>
            </w:r>
          </w:p>
        </w:tc>
        <w:tc>
          <w:tcPr>
            <w:tcW w:w="1440" w:type="dxa"/>
            <w:tcBorders>
              <w:top w:val="single" w:sz="4" w:space="0" w:color="DDE0E3" w:themeColor="accent3" w:themeTint="33"/>
              <w:bottom w:val="single" w:sz="4" w:space="0" w:color="DDE0E3" w:themeColor="accent3" w:themeTint="33"/>
            </w:tcBorders>
            <w:shd w:val="clear" w:color="auto" w:fill="auto"/>
          </w:tcPr>
          <w:p w14:paraId="33FDC18F" w14:textId="5E3E82EE" w:rsidR="00396406" w:rsidRPr="00A34958" w:rsidRDefault="00883D8C" w:rsidP="00396406">
            <w:pPr>
              <w:spacing w:before="40" w:after="40"/>
              <w:ind w:right="-18"/>
              <w:rPr>
                <w:rFonts w:cstheme="minorHAnsi"/>
                <w:i/>
                <w:sz w:val="20"/>
              </w:rPr>
            </w:pPr>
            <w:r w:rsidRPr="00A34958">
              <w:rPr>
                <w:rFonts w:cstheme="minorHAnsi"/>
                <w:iCs/>
                <w:sz w:val="20"/>
              </w:rPr>
              <w:t>X</w:t>
            </w:r>
          </w:p>
        </w:tc>
        <w:tc>
          <w:tcPr>
            <w:tcW w:w="1710" w:type="dxa"/>
            <w:tcBorders>
              <w:top w:val="single" w:sz="4" w:space="0" w:color="DDE0E3" w:themeColor="accent3" w:themeTint="33"/>
              <w:bottom w:val="single" w:sz="4" w:space="0" w:color="DDE0E3" w:themeColor="accent3" w:themeTint="33"/>
            </w:tcBorders>
            <w:shd w:val="clear" w:color="auto" w:fill="D9D9D9"/>
          </w:tcPr>
          <w:p w14:paraId="28F7671D" w14:textId="77777777" w:rsidR="00396406" w:rsidRPr="00464BF8" w:rsidRDefault="00396406" w:rsidP="00396406">
            <w:pPr>
              <w:spacing w:before="40" w:after="40"/>
              <w:ind w:right="-18"/>
              <w:rPr>
                <w:rFonts w:cstheme="minorHAnsi"/>
                <w:i/>
                <w:color w:val="646464"/>
                <w:sz w:val="20"/>
              </w:rPr>
            </w:pPr>
            <w:r w:rsidRPr="00464BF8">
              <w:rPr>
                <w:rFonts w:cstheme="minorHAnsi"/>
                <w:iCs/>
                <w:color w:val="646464"/>
                <w:sz w:val="20"/>
              </w:rPr>
              <w:t xml:space="preserve"> </w:t>
            </w:r>
          </w:p>
        </w:tc>
        <w:tc>
          <w:tcPr>
            <w:tcW w:w="4860" w:type="dxa"/>
            <w:tcBorders>
              <w:top w:val="single" w:sz="4" w:space="0" w:color="DDE0E3" w:themeColor="accent3" w:themeTint="33"/>
              <w:bottom w:val="single" w:sz="4" w:space="0" w:color="DDE0E3" w:themeColor="accent3" w:themeTint="33"/>
              <w:right w:val="single" w:sz="4" w:space="0" w:color="auto"/>
            </w:tcBorders>
          </w:tcPr>
          <w:p w14:paraId="363B870C" w14:textId="77777777" w:rsidR="00396406" w:rsidRPr="00464BF8" w:rsidRDefault="00396406" w:rsidP="00396406">
            <w:pPr>
              <w:spacing w:before="40" w:after="40"/>
              <w:ind w:right="-18"/>
              <w:rPr>
                <w:rFonts w:cstheme="minorHAnsi"/>
                <w:i/>
                <w:color w:val="646464"/>
                <w:sz w:val="20"/>
              </w:rPr>
            </w:pPr>
            <w:r w:rsidRPr="00464BF8">
              <w:rPr>
                <w:rFonts w:cstheme="minorHAnsi"/>
                <w:iCs/>
                <w:color w:val="646464"/>
                <w:sz w:val="20"/>
              </w:rPr>
              <w:t xml:space="preserve"> </w:t>
            </w:r>
          </w:p>
        </w:tc>
      </w:tr>
      <w:tr w:rsidR="00396406" w:rsidRPr="00CA5CFA" w14:paraId="643BB897" w14:textId="77777777" w:rsidTr="0030710E">
        <w:trPr>
          <w:cantSplit/>
          <w:trHeight w:val="144"/>
        </w:trPr>
        <w:tc>
          <w:tcPr>
            <w:tcW w:w="4945" w:type="dxa"/>
            <w:tcBorders>
              <w:top w:val="single" w:sz="4" w:space="0" w:color="DDE0E3" w:themeColor="accent3" w:themeTint="33"/>
            </w:tcBorders>
          </w:tcPr>
          <w:p w14:paraId="5A7BB9D4" w14:textId="77777777" w:rsidR="00396406" w:rsidRPr="00464BF8" w:rsidRDefault="00396406" w:rsidP="00396406">
            <w:pPr>
              <w:spacing w:before="40" w:after="40"/>
              <w:rPr>
                <w:rFonts w:cstheme="minorHAnsi"/>
                <w:i/>
                <w:sz w:val="20"/>
              </w:rPr>
            </w:pPr>
            <w:r w:rsidRPr="00464BF8">
              <w:rPr>
                <w:rFonts w:cstheme="minorHAnsi"/>
                <w:sz w:val="20"/>
              </w:rPr>
              <w:t xml:space="preserve">6.2.2 The state expects to make other program changes that may affect metrics related to </w:t>
            </w:r>
            <w:r>
              <w:rPr>
                <w:rFonts w:cstheme="minorHAnsi"/>
                <w:sz w:val="20"/>
              </w:rPr>
              <w:t>M</w:t>
            </w:r>
            <w:r w:rsidRPr="00464BF8">
              <w:rPr>
                <w:rFonts w:cstheme="minorHAnsi"/>
                <w:sz w:val="20"/>
              </w:rPr>
              <w:t>ilestone 5</w:t>
            </w:r>
          </w:p>
        </w:tc>
        <w:tc>
          <w:tcPr>
            <w:tcW w:w="1440" w:type="dxa"/>
            <w:tcBorders>
              <w:top w:val="single" w:sz="4" w:space="0" w:color="DDE0E3" w:themeColor="accent3" w:themeTint="33"/>
            </w:tcBorders>
            <w:shd w:val="clear" w:color="auto" w:fill="auto"/>
          </w:tcPr>
          <w:p w14:paraId="5794F20D" w14:textId="574F29F6" w:rsidR="00396406" w:rsidRPr="00A34958" w:rsidRDefault="00883D8C" w:rsidP="00396406">
            <w:pPr>
              <w:spacing w:before="40" w:after="40"/>
              <w:ind w:right="-18"/>
              <w:rPr>
                <w:rFonts w:cstheme="minorHAnsi"/>
                <w:i/>
                <w:sz w:val="20"/>
              </w:rPr>
            </w:pPr>
            <w:r w:rsidRPr="00A34958">
              <w:rPr>
                <w:rFonts w:cstheme="minorHAnsi"/>
                <w:iCs/>
                <w:sz w:val="20"/>
              </w:rPr>
              <w:t>X</w:t>
            </w:r>
          </w:p>
        </w:tc>
        <w:tc>
          <w:tcPr>
            <w:tcW w:w="1710" w:type="dxa"/>
            <w:tcBorders>
              <w:top w:val="single" w:sz="4" w:space="0" w:color="DDE0E3" w:themeColor="accent3" w:themeTint="33"/>
            </w:tcBorders>
            <w:shd w:val="clear" w:color="auto" w:fill="D9D9D9"/>
          </w:tcPr>
          <w:p w14:paraId="0816B61E" w14:textId="77777777" w:rsidR="00396406" w:rsidRPr="00464BF8" w:rsidRDefault="00396406" w:rsidP="00396406">
            <w:pPr>
              <w:spacing w:before="40" w:after="40"/>
              <w:ind w:right="-18"/>
              <w:rPr>
                <w:rFonts w:cstheme="minorHAnsi"/>
                <w:i/>
                <w:color w:val="646464"/>
                <w:sz w:val="20"/>
              </w:rPr>
            </w:pPr>
            <w:r w:rsidRPr="00464BF8">
              <w:rPr>
                <w:rFonts w:cstheme="minorHAnsi"/>
                <w:iCs/>
                <w:color w:val="646464"/>
                <w:sz w:val="20"/>
              </w:rPr>
              <w:t xml:space="preserve"> </w:t>
            </w:r>
          </w:p>
        </w:tc>
        <w:tc>
          <w:tcPr>
            <w:tcW w:w="4860" w:type="dxa"/>
            <w:tcBorders>
              <w:top w:val="single" w:sz="4" w:space="0" w:color="DDE0E3" w:themeColor="accent3" w:themeTint="33"/>
            </w:tcBorders>
          </w:tcPr>
          <w:p w14:paraId="6A5544C2" w14:textId="52CD79BA" w:rsidR="00396406" w:rsidRPr="00E85D69" w:rsidRDefault="00396406" w:rsidP="00396406">
            <w:pPr>
              <w:spacing w:before="40" w:after="40"/>
              <w:ind w:right="-18"/>
              <w:rPr>
                <w:rFonts w:cstheme="minorHAnsi"/>
                <w:i/>
                <w:color w:val="646464"/>
                <w:sz w:val="20"/>
              </w:rPr>
            </w:pPr>
          </w:p>
        </w:tc>
      </w:tr>
      <w:tr w:rsidR="00396406" w:rsidRPr="00CA5CFA" w14:paraId="508E3E0C" w14:textId="77777777" w:rsidTr="00CC2FC2">
        <w:trPr>
          <w:cantSplit/>
          <w:trHeight w:val="220"/>
        </w:trPr>
        <w:tc>
          <w:tcPr>
            <w:tcW w:w="12955" w:type="dxa"/>
            <w:gridSpan w:val="4"/>
            <w:shd w:val="clear" w:color="auto" w:fill="D9D9D9"/>
          </w:tcPr>
          <w:p w14:paraId="62256B32" w14:textId="77777777" w:rsidR="00396406" w:rsidRPr="00464BF8" w:rsidRDefault="00396406" w:rsidP="00396406">
            <w:pPr>
              <w:rPr>
                <w:rFonts w:cstheme="minorHAnsi"/>
                <w:b/>
                <w:i/>
                <w:color w:val="000000" w:themeColor="text1"/>
                <w:sz w:val="20"/>
              </w:rPr>
            </w:pPr>
            <w:r w:rsidRPr="00464BF8">
              <w:rPr>
                <w:rFonts w:cstheme="minorHAnsi"/>
                <w:b/>
                <w:color w:val="000000" w:themeColor="text1"/>
                <w:sz w:val="20"/>
              </w:rPr>
              <w:t>7. Improved Care Coordination and Transitions between Levels of Care (Milestone 6)</w:t>
            </w:r>
          </w:p>
        </w:tc>
      </w:tr>
      <w:tr w:rsidR="00396406" w:rsidRPr="00CA5CFA" w14:paraId="20B35B62" w14:textId="77777777" w:rsidTr="00CC2FC2">
        <w:trPr>
          <w:cantSplit/>
          <w:trHeight w:val="220"/>
        </w:trPr>
        <w:tc>
          <w:tcPr>
            <w:tcW w:w="12955" w:type="dxa"/>
            <w:gridSpan w:val="4"/>
            <w:shd w:val="clear" w:color="auto" w:fill="F2F2F2"/>
          </w:tcPr>
          <w:p w14:paraId="7BEF26E0" w14:textId="77777777" w:rsidR="00396406" w:rsidRPr="00464BF8" w:rsidRDefault="00396406" w:rsidP="00396406">
            <w:pPr>
              <w:rPr>
                <w:rFonts w:cstheme="minorHAnsi"/>
                <w:b/>
                <w:sz w:val="20"/>
              </w:rPr>
            </w:pPr>
            <w:r w:rsidRPr="00464BF8">
              <w:rPr>
                <w:rFonts w:cstheme="minorHAnsi"/>
                <w:b/>
                <w:sz w:val="20"/>
              </w:rPr>
              <w:t>7.1 Metric trends</w:t>
            </w:r>
          </w:p>
        </w:tc>
      </w:tr>
      <w:tr w:rsidR="00396406" w:rsidRPr="00CA5CFA" w14:paraId="187655A2" w14:textId="77777777" w:rsidTr="00CC2FC2">
        <w:trPr>
          <w:cantSplit/>
          <w:trHeight w:val="220"/>
        </w:trPr>
        <w:tc>
          <w:tcPr>
            <w:tcW w:w="4945" w:type="dxa"/>
          </w:tcPr>
          <w:p w14:paraId="1BC589C2" w14:textId="77777777" w:rsidR="00396406" w:rsidRPr="00464BF8" w:rsidRDefault="00396406" w:rsidP="00396406">
            <w:pPr>
              <w:spacing w:before="40" w:after="40"/>
              <w:rPr>
                <w:rFonts w:cstheme="minorHAnsi"/>
                <w:color w:val="C2AA6D" w:themeColor="background2" w:themeShade="BF"/>
                <w:sz w:val="20"/>
              </w:rPr>
            </w:pPr>
            <w:r w:rsidRPr="00464BF8">
              <w:rPr>
                <w:rFonts w:cstheme="minorHAnsi"/>
                <w:sz w:val="20"/>
              </w:rPr>
              <w:t xml:space="preserve">7.1.1 The state reports the following metric trends, including all changes (+ or -) greater than 2 percent related to </w:t>
            </w:r>
            <w:r>
              <w:rPr>
                <w:rFonts w:cstheme="minorHAnsi"/>
                <w:sz w:val="20"/>
              </w:rPr>
              <w:t>M</w:t>
            </w:r>
            <w:r w:rsidRPr="00464BF8">
              <w:rPr>
                <w:rFonts w:cstheme="minorHAnsi"/>
                <w:sz w:val="20"/>
              </w:rPr>
              <w:t>ilestone 6</w:t>
            </w:r>
          </w:p>
        </w:tc>
        <w:tc>
          <w:tcPr>
            <w:tcW w:w="1440" w:type="dxa"/>
          </w:tcPr>
          <w:p w14:paraId="04429213" w14:textId="798CB419" w:rsidR="00396406" w:rsidRPr="000A7EF9" w:rsidRDefault="00714F53" w:rsidP="00396406">
            <w:pPr>
              <w:spacing w:before="40" w:after="40"/>
              <w:ind w:right="-18"/>
              <w:rPr>
                <w:rFonts w:cstheme="minorHAnsi"/>
                <w:sz w:val="20"/>
              </w:rPr>
            </w:pPr>
            <w:r>
              <w:rPr>
                <w:rFonts w:cstheme="minorHAnsi"/>
                <w:sz w:val="20"/>
              </w:rPr>
              <w:t>X</w:t>
            </w:r>
          </w:p>
        </w:tc>
        <w:tc>
          <w:tcPr>
            <w:tcW w:w="1710" w:type="dxa"/>
          </w:tcPr>
          <w:p w14:paraId="08EA9808" w14:textId="6566B7F0" w:rsidR="00161F14" w:rsidRPr="000A7EF9" w:rsidRDefault="00161F14" w:rsidP="00161F14">
            <w:pPr>
              <w:spacing w:line="240" w:lineRule="auto"/>
              <w:ind w:right="-14"/>
              <w:rPr>
                <w:rFonts w:cstheme="minorHAnsi"/>
                <w:sz w:val="20"/>
              </w:rPr>
            </w:pPr>
          </w:p>
        </w:tc>
        <w:tc>
          <w:tcPr>
            <w:tcW w:w="4860" w:type="dxa"/>
          </w:tcPr>
          <w:p w14:paraId="2AD71611" w14:textId="733578C3" w:rsidR="00161F14" w:rsidRPr="00A34958" w:rsidRDefault="00161F14" w:rsidP="00383D84">
            <w:pPr>
              <w:rPr>
                <w:sz w:val="20"/>
              </w:rPr>
            </w:pPr>
          </w:p>
        </w:tc>
      </w:tr>
      <w:tr w:rsidR="00396406" w:rsidRPr="00CA5CFA" w14:paraId="70CC9D01" w14:textId="77777777" w:rsidTr="00CC2FC2">
        <w:trPr>
          <w:cantSplit/>
          <w:trHeight w:val="220"/>
        </w:trPr>
        <w:tc>
          <w:tcPr>
            <w:tcW w:w="12955" w:type="dxa"/>
            <w:gridSpan w:val="4"/>
            <w:shd w:val="clear" w:color="auto" w:fill="F2F2F2"/>
          </w:tcPr>
          <w:p w14:paraId="0EBFD7F5" w14:textId="77777777" w:rsidR="00396406" w:rsidRPr="00464BF8" w:rsidRDefault="00396406" w:rsidP="00396406">
            <w:pPr>
              <w:ind w:right="-14"/>
              <w:rPr>
                <w:rFonts w:cstheme="minorHAnsi"/>
                <w:bCs/>
                <w:sz w:val="20"/>
              </w:rPr>
            </w:pPr>
            <w:r w:rsidRPr="00464BF8">
              <w:rPr>
                <w:rFonts w:cstheme="minorHAnsi"/>
                <w:b/>
                <w:sz w:val="20"/>
              </w:rPr>
              <w:t>7.2 Implementation update</w:t>
            </w:r>
          </w:p>
        </w:tc>
      </w:tr>
      <w:tr w:rsidR="00396406" w:rsidRPr="00CA5CFA" w14:paraId="2D085664" w14:textId="77777777" w:rsidTr="00CC2FC2">
        <w:trPr>
          <w:cantSplit/>
          <w:trHeight w:val="220"/>
        </w:trPr>
        <w:tc>
          <w:tcPr>
            <w:tcW w:w="4945" w:type="dxa"/>
          </w:tcPr>
          <w:p w14:paraId="74B028BF" w14:textId="77777777" w:rsidR="00396406" w:rsidRPr="00464BF8" w:rsidRDefault="00396406" w:rsidP="00396406">
            <w:pPr>
              <w:spacing w:before="40" w:after="40"/>
              <w:ind w:right="-108"/>
              <w:rPr>
                <w:rFonts w:cstheme="minorHAnsi"/>
                <w:sz w:val="20"/>
              </w:rPr>
            </w:pPr>
            <w:r w:rsidRPr="00464BF8">
              <w:rPr>
                <w:rFonts w:cstheme="minorHAnsi"/>
                <w:sz w:val="20"/>
              </w:rPr>
              <w:t>7.2.1 Compared to the demonstration design and operational details, the state expects to make the following changes to:  Implementation of policies supporting beneficiaries’ transition from residential and inpatient facilities to community-based services and supports</w:t>
            </w:r>
          </w:p>
        </w:tc>
        <w:tc>
          <w:tcPr>
            <w:tcW w:w="1440" w:type="dxa"/>
            <w:shd w:val="clear" w:color="auto" w:fill="auto"/>
          </w:tcPr>
          <w:p w14:paraId="25180B1E" w14:textId="77CA6A20" w:rsidR="00396406" w:rsidRPr="00A34958" w:rsidRDefault="002C240B" w:rsidP="00396406">
            <w:pPr>
              <w:spacing w:before="40" w:after="40"/>
              <w:ind w:right="-18"/>
              <w:rPr>
                <w:rFonts w:cstheme="minorHAnsi"/>
                <w:i/>
                <w:sz w:val="20"/>
              </w:rPr>
            </w:pPr>
            <w:r w:rsidRPr="00A34958">
              <w:rPr>
                <w:rFonts w:cstheme="minorHAnsi"/>
                <w:iCs/>
                <w:sz w:val="20"/>
              </w:rPr>
              <w:t>X</w:t>
            </w:r>
          </w:p>
        </w:tc>
        <w:tc>
          <w:tcPr>
            <w:tcW w:w="1710" w:type="dxa"/>
            <w:shd w:val="clear" w:color="auto" w:fill="D9D9D9"/>
          </w:tcPr>
          <w:p w14:paraId="266F4EBF" w14:textId="77777777" w:rsidR="00396406" w:rsidRPr="00A34958" w:rsidRDefault="00396406" w:rsidP="00396406">
            <w:pPr>
              <w:spacing w:before="40" w:after="40"/>
              <w:ind w:right="-18"/>
              <w:rPr>
                <w:rFonts w:cstheme="minorHAnsi"/>
                <w:i/>
                <w:sz w:val="20"/>
              </w:rPr>
            </w:pPr>
            <w:r w:rsidRPr="00A34958">
              <w:rPr>
                <w:rFonts w:cstheme="minorHAnsi"/>
                <w:iCs/>
                <w:sz w:val="20"/>
              </w:rPr>
              <w:t xml:space="preserve"> </w:t>
            </w:r>
          </w:p>
        </w:tc>
        <w:tc>
          <w:tcPr>
            <w:tcW w:w="4860" w:type="dxa"/>
          </w:tcPr>
          <w:p w14:paraId="172CCEDB" w14:textId="77777777" w:rsidR="00396406" w:rsidRPr="00A34958" w:rsidRDefault="00396406" w:rsidP="00396406">
            <w:pPr>
              <w:spacing w:before="40" w:after="40"/>
              <w:ind w:right="-18"/>
              <w:rPr>
                <w:rFonts w:cstheme="minorHAnsi"/>
                <w:i/>
                <w:sz w:val="20"/>
              </w:rPr>
            </w:pPr>
            <w:r w:rsidRPr="00A34958">
              <w:rPr>
                <w:rFonts w:cstheme="minorHAnsi"/>
                <w:iCs/>
                <w:sz w:val="20"/>
              </w:rPr>
              <w:t xml:space="preserve"> </w:t>
            </w:r>
          </w:p>
        </w:tc>
      </w:tr>
      <w:tr w:rsidR="00396406" w:rsidRPr="00CA5CFA" w14:paraId="514CA423" w14:textId="77777777" w:rsidTr="00CC2FC2">
        <w:trPr>
          <w:cantSplit/>
          <w:trHeight w:val="220"/>
        </w:trPr>
        <w:tc>
          <w:tcPr>
            <w:tcW w:w="4945" w:type="dxa"/>
          </w:tcPr>
          <w:p w14:paraId="33E701F6" w14:textId="77777777" w:rsidR="00396406" w:rsidRPr="00464BF8" w:rsidRDefault="00396406" w:rsidP="00396406">
            <w:pPr>
              <w:spacing w:before="40" w:after="40"/>
              <w:rPr>
                <w:rFonts w:cstheme="minorHAnsi"/>
                <w:i/>
                <w:sz w:val="20"/>
              </w:rPr>
            </w:pPr>
            <w:r w:rsidRPr="00464BF8">
              <w:rPr>
                <w:rFonts w:cstheme="minorHAnsi"/>
                <w:sz w:val="20"/>
              </w:rPr>
              <w:t xml:space="preserve">7.2.2 The state expects to make other program changes that may affect metrics related to </w:t>
            </w:r>
            <w:r>
              <w:rPr>
                <w:rFonts w:cstheme="minorHAnsi"/>
                <w:sz w:val="20"/>
              </w:rPr>
              <w:t>M</w:t>
            </w:r>
            <w:r w:rsidRPr="00464BF8">
              <w:rPr>
                <w:rFonts w:cstheme="minorHAnsi"/>
                <w:sz w:val="20"/>
              </w:rPr>
              <w:t>ilestone 6</w:t>
            </w:r>
          </w:p>
        </w:tc>
        <w:tc>
          <w:tcPr>
            <w:tcW w:w="1440" w:type="dxa"/>
            <w:shd w:val="clear" w:color="auto" w:fill="auto"/>
          </w:tcPr>
          <w:p w14:paraId="404306B8" w14:textId="1750FBA5" w:rsidR="00396406" w:rsidRPr="00A34958" w:rsidRDefault="00396406" w:rsidP="00396406">
            <w:pPr>
              <w:spacing w:before="40" w:after="40"/>
              <w:ind w:right="-18"/>
              <w:rPr>
                <w:rFonts w:cstheme="minorHAnsi"/>
                <w:i/>
                <w:sz w:val="20"/>
              </w:rPr>
            </w:pPr>
            <w:r w:rsidRPr="00A34958">
              <w:rPr>
                <w:rFonts w:cstheme="minorHAnsi"/>
                <w:iCs/>
                <w:sz w:val="20"/>
              </w:rPr>
              <w:t xml:space="preserve"> </w:t>
            </w:r>
          </w:p>
        </w:tc>
        <w:tc>
          <w:tcPr>
            <w:tcW w:w="1710" w:type="dxa"/>
            <w:shd w:val="clear" w:color="auto" w:fill="D9D9D9"/>
          </w:tcPr>
          <w:p w14:paraId="66659E34" w14:textId="05FBE163" w:rsidR="00396406" w:rsidRPr="00A34958" w:rsidRDefault="00396406" w:rsidP="00396406">
            <w:pPr>
              <w:spacing w:before="40" w:after="40"/>
              <w:ind w:right="-18"/>
              <w:rPr>
                <w:rFonts w:cstheme="minorHAnsi"/>
                <w:sz w:val="20"/>
              </w:rPr>
            </w:pPr>
          </w:p>
        </w:tc>
        <w:tc>
          <w:tcPr>
            <w:tcW w:w="4860" w:type="dxa"/>
          </w:tcPr>
          <w:p w14:paraId="6373172A" w14:textId="1F0F7EDA" w:rsidR="00396406" w:rsidRPr="00A34958" w:rsidRDefault="002C240B" w:rsidP="00396406">
            <w:pPr>
              <w:spacing w:before="40" w:after="40"/>
              <w:ind w:right="-18"/>
              <w:rPr>
                <w:rFonts w:cstheme="minorHAnsi"/>
                <w:sz w:val="20"/>
              </w:rPr>
            </w:pPr>
            <w:r w:rsidRPr="00A34958">
              <w:rPr>
                <w:rFonts w:cstheme="minorHAnsi"/>
                <w:sz w:val="20"/>
              </w:rPr>
              <w:t>The state is developing an MCO reporting system based on claims data to monitor transitions in care from acute withdrawal management services (4-WM and 3.7-WM) and through/from residential treatment services to lower levels of care.</w:t>
            </w:r>
          </w:p>
        </w:tc>
      </w:tr>
      <w:tr w:rsidR="00396406" w:rsidRPr="00CA5CFA" w14:paraId="676B8AE9" w14:textId="77777777" w:rsidTr="00CC2FC2">
        <w:trPr>
          <w:cantSplit/>
          <w:trHeight w:val="220"/>
        </w:trPr>
        <w:tc>
          <w:tcPr>
            <w:tcW w:w="12955" w:type="dxa"/>
            <w:gridSpan w:val="4"/>
            <w:tcBorders>
              <w:bottom w:val="single" w:sz="4" w:space="0" w:color="DDE0E3" w:themeColor="accent3" w:themeTint="33"/>
            </w:tcBorders>
            <w:shd w:val="clear" w:color="auto" w:fill="D9D9D9"/>
          </w:tcPr>
          <w:p w14:paraId="0441B28D" w14:textId="77777777" w:rsidR="00396406" w:rsidRPr="00464BF8" w:rsidRDefault="00396406" w:rsidP="00396406">
            <w:pPr>
              <w:rPr>
                <w:rFonts w:cstheme="minorHAnsi"/>
                <w:b/>
                <w:color w:val="000000" w:themeColor="text1"/>
                <w:sz w:val="20"/>
              </w:rPr>
            </w:pPr>
            <w:r w:rsidRPr="00464BF8">
              <w:rPr>
                <w:rFonts w:cstheme="minorHAnsi"/>
                <w:b/>
                <w:color w:val="000000" w:themeColor="text1"/>
                <w:sz w:val="20"/>
              </w:rPr>
              <w:t>8. SUD health information technology (health IT)</w:t>
            </w:r>
          </w:p>
        </w:tc>
      </w:tr>
      <w:tr w:rsidR="00396406" w:rsidRPr="00CA5CFA" w14:paraId="23279A99" w14:textId="77777777" w:rsidTr="00CC2FC2">
        <w:trPr>
          <w:cantSplit/>
          <w:trHeight w:val="220"/>
        </w:trPr>
        <w:tc>
          <w:tcPr>
            <w:tcW w:w="12955" w:type="dxa"/>
            <w:gridSpan w:val="4"/>
            <w:tcBorders>
              <w:top w:val="single" w:sz="4" w:space="0" w:color="DDE0E3" w:themeColor="accent3" w:themeTint="33"/>
              <w:bottom w:val="single" w:sz="4" w:space="0" w:color="DDE0E3" w:themeColor="accent3" w:themeTint="33"/>
            </w:tcBorders>
            <w:shd w:val="clear" w:color="auto" w:fill="F2F2F2"/>
          </w:tcPr>
          <w:p w14:paraId="23BCF59F" w14:textId="5151E400" w:rsidR="00396406" w:rsidRPr="00464BF8" w:rsidRDefault="00396406" w:rsidP="0059568C">
            <w:pPr>
              <w:tabs>
                <w:tab w:val="center" w:pos="6369"/>
              </w:tabs>
              <w:rPr>
                <w:rFonts w:cstheme="minorHAnsi"/>
                <w:b/>
                <w:sz w:val="20"/>
              </w:rPr>
            </w:pPr>
            <w:r w:rsidRPr="00464BF8">
              <w:rPr>
                <w:rFonts w:cstheme="minorHAnsi"/>
                <w:b/>
                <w:sz w:val="20"/>
              </w:rPr>
              <w:t>8.1 Metric trends</w:t>
            </w:r>
            <w:r w:rsidR="0059568C">
              <w:rPr>
                <w:rFonts w:cstheme="minorHAnsi"/>
                <w:b/>
                <w:sz w:val="20"/>
              </w:rPr>
              <w:tab/>
            </w:r>
          </w:p>
        </w:tc>
      </w:tr>
      <w:tr w:rsidR="00396406" w:rsidRPr="00CA5CFA" w14:paraId="5158C96D" w14:textId="77777777" w:rsidTr="00CC2FC2">
        <w:trPr>
          <w:cantSplit/>
          <w:trHeight w:val="233"/>
        </w:trPr>
        <w:tc>
          <w:tcPr>
            <w:tcW w:w="4945" w:type="dxa"/>
            <w:tcBorders>
              <w:top w:val="single" w:sz="4" w:space="0" w:color="DDE0E3" w:themeColor="accent3" w:themeTint="33"/>
            </w:tcBorders>
          </w:tcPr>
          <w:p w14:paraId="41629E26" w14:textId="77777777" w:rsidR="00396406" w:rsidRPr="00464BF8" w:rsidRDefault="00396406" w:rsidP="00396406">
            <w:pPr>
              <w:spacing w:before="40" w:after="40"/>
              <w:rPr>
                <w:rFonts w:cstheme="minorHAnsi"/>
                <w:iCs/>
                <w:sz w:val="20"/>
              </w:rPr>
            </w:pPr>
            <w:r w:rsidRPr="00464BF8">
              <w:rPr>
                <w:rFonts w:cstheme="minorHAnsi"/>
                <w:iCs/>
                <w:sz w:val="20"/>
              </w:rPr>
              <w:lastRenderedPageBreak/>
              <w:t xml:space="preserve">8.1.1 The </w:t>
            </w:r>
            <w:r w:rsidRPr="00464BF8">
              <w:rPr>
                <w:rFonts w:cstheme="minorHAnsi"/>
                <w:sz w:val="20"/>
              </w:rPr>
              <w:t>state reports the following metric trends, including all changes (+ or -) greater than 2 percent related to its health IT metrics</w:t>
            </w:r>
          </w:p>
        </w:tc>
        <w:tc>
          <w:tcPr>
            <w:tcW w:w="1440" w:type="dxa"/>
            <w:tcBorders>
              <w:top w:val="single" w:sz="4" w:space="0" w:color="DDE0E3" w:themeColor="accent3" w:themeTint="33"/>
            </w:tcBorders>
          </w:tcPr>
          <w:p w14:paraId="7F59E4FA" w14:textId="77777777" w:rsidR="00396406" w:rsidRPr="00A34958" w:rsidRDefault="00396406" w:rsidP="00396406">
            <w:pPr>
              <w:spacing w:before="40" w:after="40"/>
              <w:rPr>
                <w:rFonts w:cstheme="minorHAnsi"/>
                <w:sz w:val="20"/>
              </w:rPr>
            </w:pPr>
            <w:r w:rsidRPr="00A34958">
              <w:rPr>
                <w:rFonts w:cstheme="minorHAnsi"/>
                <w:iCs/>
                <w:sz w:val="20"/>
              </w:rPr>
              <w:t xml:space="preserve"> </w:t>
            </w:r>
          </w:p>
        </w:tc>
        <w:tc>
          <w:tcPr>
            <w:tcW w:w="1710" w:type="dxa"/>
            <w:tcBorders>
              <w:top w:val="single" w:sz="4" w:space="0" w:color="DDE0E3" w:themeColor="accent3" w:themeTint="33"/>
            </w:tcBorders>
          </w:tcPr>
          <w:p w14:paraId="348A0513" w14:textId="77777777" w:rsidR="00396406" w:rsidRDefault="00620F11" w:rsidP="00161F14">
            <w:pPr>
              <w:spacing w:line="240" w:lineRule="auto"/>
              <w:ind w:right="-14"/>
              <w:rPr>
                <w:rFonts w:cstheme="minorHAnsi"/>
                <w:iCs/>
                <w:sz w:val="20"/>
              </w:rPr>
            </w:pPr>
            <w:r>
              <w:rPr>
                <w:rFonts w:cstheme="minorHAnsi"/>
                <w:iCs/>
                <w:sz w:val="20"/>
              </w:rPr>
              <w:t>Q1</w:t>
            </w:r>
          </w:p>
          <w:p w14:paraId="746C136C" w14:textId="77777777" w:rsidR="00620F11" w:rsidRDefault="00620F11" w:rsidP="00161F14">
            <w:pPr>
              <w:spacing w:line="240" w:lineRule="auto"/>
              <w:ind w:right="-14"/>
              <w:rPr>
                <w:rFonts w:cstheme="minorHAnsi"/>
                <w:sz w:val="20"/>
              </w:rPr>
            </w:pPr>
          </w:p>
          <w:p w14:paraId="0DBE2736" w14:textId="77777777" w:rsidR="00620F11" w:rsidRDefault="00620F11" w:rsidP="00161F14">
            <w:pPr>
              <w:spacing w:line="240" w:lineRule="auto"/>
              <w:ind w:right="-14"/>
              <w:rPr>
                <w:rFonts w:cstheme="minorHAnsi"/>
                <w:sz w:val="20"/>
              </w:rPr>
            </w:pPr>
          </w:p>
          <w:p w14:paraId="16FDEA07" w14:textId="77777777" w:rsidR="00620F11" w:rsidRDefault="00620F11" w:rsidP="00161F14">
            <w:pPr>
              <w:spacing w:line="240" w:lineRule="auto"/>
              <w:ind w:right="-14"/>
              <w:rPr>
                <w:rFonts w:cstheme="minorHAnsi"/>
                <w:sz w:val="20"/>
              </w:rPr>
            </w:pPr>
          </w:p>
          <w:p w14:paraId="61394636" w14:textId="77777777" w:rsidR="00620F11" w:rsidRDefault="00620F11" w:rsidP="00161F14">
            <w:pPr>
              <w:spacing w:line="240" w:lineRule="auto"/>
              <w:ind w:right="-14"/>
              <w:rPr>
                <w:rFonts w:cstheme="minorHAnsi"/>
                <w:sz w:val="20"/>
              </w:rPr>
            </w:pPr>
          </w:p>
          <w:p w14:paraId="25858A2E" w14:textId="77777777" w:rsidR="00620F11" w:rsidRDefault="00620F11" w:rsidP="00161F14">
            <w:pPr>
              <w:spacing w:line="240" w:lineRule="auto"/>
              <w:ind w:right="-14"/>
              <w:rPr>
                <w:rFonts w:cstheme="minorHAnsi"/>
                <w:sz w:val="20"/>
              </w:rPr>
            </w:pPr>
          </w:p>
          <w:p w14:paraId="29A5433D" w14:textId="77777777" w:rsidR="00620F11" w:rsidRDefault="00620F11" w:rsidP="00161F14">
            <w:pPr>
              <w:spacing w:line="240" w:lineRule="auto"/>
              <w:ind w:right="-14"/>
              <w:rPr>
                <w:rFonts w:cstheme="minorHAnsi"/>
                <w:sz w:val="20"/>
              </w:rPr>
            </w:pPr>
          </w:p>
          <w:p w14:paraId="301FD2C5" w14:textId="16BB4726" w:rsidR="00620F11" w:rsidRDefault="00620F11" w:rsidP="00161F14">
            <w:pPr>
              <w:spacing w:line="240" w:lineRule="auto"/>
              <w:ind w:right="-14"/>
              <w:rPr>
                <w:rFonts w:cstheme="minorHAnsi"/>
                <w:sz w:val="20"/>
              </w:rPr>
            </w:pPr>
            <w:r>
              <w:rPr>
                <w:rFonts w:cstheme="minorHAnsi"/>
                <w:sz w:val="20"/>
              </w:rPr>
              <w:t>Q2</w:t>
            </w:r>
          </w:p>
          <w:p w14:paraId="36B24E78" w14:textId="7F2456B8" w:rsidR="00620F11" w:rsidRPr="00A34958" w:rsidRDefault="00620F11" w:rsidP="00161F14">
            <w:pPr>
              <w:spacing w:line="240" w:lineRule="auto"/>
              <w:ind w:right="-14"/>
              <w:rPr>
                <w:rFonts w:cstheme="minorHAnsi"/>
                <w:sz w:val="20"/>
              </w:rPr>
            </w:pPr>
          </w:p>
        </w:tc>
        <w:tc>
          <w:tcPr>
            <w:tcW w:w="4860" w:type="dxa"/>
            <w:tcBorders>
              <w:top w:val="single" w:sz="4" w:space="0" w:color="DDE0E3" w:themeColor="accent3" w:themeTint="33"/>
            </w:tcBorders>
          </w:tcPr>
          <w:p w14:paraId="27A1B5C4" w14:textId="0B84E5E9" w:rsidR="00620F11" w:rsidRPr="00620F11" w:rsidRDefault="00620F11" w:rsidP="00620F11">
            <w:pPr>
              <w:spacing w:line="240" w:lineRule="auto"/>
              <w:ind w:right="-14"/>
              <w:rPr>
                <w:rFonts w:cstheme="minorHAnsi"/>
                <w:iCs/>
                <w:sz w:val="20"/>
              </w:rPr>
            </w:pPr>
            <w:r w:rsidRPr="00620F11">
              <w:rPr>
                <w:rFonts w:cstheme="minorHAnsi"/>
                <w:iCs/>
                <w:sz w:val="20"/>
              </w:rPr>
              <w:t>Q1 – Percentage of eligible physicians with active access privileges to</w:t>
            </w:r>
            <w:r>
              <w:rPr>
                <w:rFonts w:cstheme="minorHAnsi"/>
                <w:iCs/>
                <w:sz w:val="20"/>
              </w:rPr>
              <w:t xml:space="preserve"> </w:t>
            </w:r>
            <w:r w:rsidRPr="00620F11">
              <w:rPr>
                <w:rFonts w:cstheme="minorHAnsi"/>
                <w:iCs/>
                <w:sz w:val="20"/>
              </w:rPr>
              <w:t>the PMP.</w:t>
            </w:r>
          </w:p>
          <w:p w14:paraId="7869D245" w14:textId="77777777" w:rsidR="00620F11" w:rsidRDefault="00620F11" w:rsidP="00620F11">
            <w:pPr>
              <w:spacing w:line="240" w:lineRule="auto"/>
              <w:ind w:right="-14"/>
              <w:rPr>
                <w:rFonts w:cstheme="minorHAnsi"/>
                <w:iCs/>
                <w:sz w:val="20"/>
              </w:rPr>
            </w:pPr>
          </w:p>
          <w:p w14:paraId="45E412AA" w14:textId="2FA8C3BC" w:rsidR="00620F11" w:rsidRDefault="00620F11" w:rsidP="00620F11">
            <w:pPr>
              <w:spacing w:line="240" w:lineRule="auto"/>
              <w:ind w:right="-14"/>
              <w:rPr>
                <w:rFonts w:cstheme="minorHAnsi"/>
                <w:iCs/>
                <w:sz w:val="20"/>
              </w:rPr>
            </w:pPr>
            <w:r w:rsidRPr="00620F11">
              <w:rPr>
                <w:rFonts w:cstheme="minorHAnsi"/>
                <w:iCs/>
                <w:sz w:val="20"/>
              </w:rPr>
              <w:t xml:space="preserve">From last quarter (DY4Q2), this </w:t>
            </w:r>
            <w:r>
              <w:rPr>
                <w:rFonts w:cstheme="minorHAnsi"/>
                <w:iCs/>
                <w:sz w:val="20"/>
              </w:rPr>
              <w:t xml:space="preserve">metric has increased by 2.6%. </w:t>
            </w:r>
            <w:r w:rsidRPr="00620F11">
              <w:rPr>
                <w:rFonts w:cstheme="minorHAnsi"/>
                <w:iCs/>
                <w:sz w:val="20"/>
              </w:rPr>
              <w:t>We will continue monitoring this trend moving forward.</w:t>
            </w:r>
          </w:p>
          <w:p w14:paraId="6B0B1F42" w14:textId="77777777" w:rsidR="00620F11" w:rsidRPr="00620F11" w:rsidRDefault="00620F11" w:rsidP="00620F11">
            <w:pPr>
              <w:spacing w:line="240" w:lineRule="auto"/>
              <w:ind w:right="-14"/>
              <w:rPr>
                <w:rFonts w:cstheme="minorHAnsi"/>
                <w:iCs/>
                <w:sz w:val="20"/>
              </w:rPr>
            </w:pPr>
          </w:p>
          <w:p w14:paraId="59ACDF2C" w14:textId="77777777" w:rsidR="00620F11" w:rsidRPr="00620F11" w:rsidRDefault="00620F11" w:rsidP="00620F11">
            <w:pPr>
              <w:spacing w:line="240" w:lineRule="auto"/>
              <w:ind w:right="-14"/>
              <w:rPr>
                <w:rFonts w:cstheme="minorHAnsi"/>
                <w:iCs/>
                <w:sz w:val="20"/>
              </w:rPr>
            </w:pPr>
            <w:r w:rsidRPr="00620F11">
              <w:rPr>
                <w:rFonts w:cstheme="minorHAnsi"/>
                <w:iCs/>
                <w:sz w:val="20"/>
              </w:rPr>
              <w:t>Q2 - Number of ERs providing ADT information to the state.</w:t>
            </w:r>
          </w:p>
          <w:p w14:paraId="17EABAAF" w14:textId="77777777" w:rsidR="00620F11" w:rsidRDefault="00620F11" w:rsidP="00620F11">
            <w:pPr>
              <w:spacing w:line="240" w:lineRule="auto"/>
              <w:ind w:right="-14"/>
              <w:rPr>
                <w:rFonts w:cstheme="minorHAnsi"/>
                <w:iCs/>
                <w:sz w:val="20"/>
              </w:rPr>
            </w:pPr>
          </w:p>
          <w:p w14:paraId="717930FA" w14:textId="05FEB823" w:rsidR="00396406" w:rsidRPr="00161F14" w:rsidRDefault="00620F11" w:rsidP="00620F11">
            <w:pPr>
              <w:spacing w:line="240" w:lineRule="auto"/>
              <w:ind w:right="-14"/>
              <w:rPr>
                <w:rFonts w:cstheme="minorHAnsi"/>
                <w:sz w:val="20"/>
              </w:rPr>
            </w:pPr>
            <w:r w:rsidRPr="00620F11">
              <w:rPr>
                <w:rFonts w:cstheme="minorHAnsi"/>
                <w:iCs/>
                <w:sz w:val="20"/>
              </w:rPr>
              <w:t xml:space="preserve">Updated data for measure Q2 </w:t>
            </w:r>
            <w:proofErr w:type="gramStart"/>
            <w:r w:rsidRPr="00620F11">
              <w:rPr>
                <w:rFonts w:cstheme="minorHAnsi"/>
                <w:iCs/>
                <w:sz w:val="20"/>
              </w:rPr>
              <w:t>provided by the Louisiana Healthcare Quality Forum indicated an increase in the number of active ADT feeds</w:t>
            </w:r>
            <w:proofErr w:type="gramEnd"/>
            <w:r w:rsidRPr="00620F11">
              <w:rPr>
                <w:rFonts w:cstheme="minorHAnsi"/>
                <w:iCs/>
                <w:sz w:val="20"/>
              </w:rPr>
              <w:t xml:space="preserve">. They are reporting 92 active </w:t>
            </w:r>
            <w:proofErr w:type="gramStart"/>
            <w:r w:rsidRPr="00620F11">
              <w:rPr>
                <w:rFonts w:cstheme="minorHAnsi"/>
                <w:iCs/>
                <w:sz w:val="20"/>
              </w:rPr>
              <w:t>feeds which</w:t>
            </w:r>
            <w:proofErr w:type="gramEnd"/>
            <w:r w:rsidRPr="00620F11">
              <w:rPr>
                <w:rFonts w:cstheme="minorHAnsi"/>
                <w:iCs/>
                <w:sz w:val="20"/>
              </w:rPr>
              <w:t xml:space="preserve"> represents a 61% increase over the number of feeds reported for the prior quarter.</w:t>
            </w:r>
          </w:p>
        </w:tc>
      </w:tr>
      <w:tr w:rsidR="00396406" w:rsidRPr="00CA5CFA" w14:paraId="2C05FBC6" w14:textId="77777777" w:rsidTr="0030710E">
        <w:trPr>
          <w:cantSplit/>
          <w:trHeight w:val="233"/>
        </w:trPr>
        <w:tc>
          <w:tcPr>
            <w:tcW w:w="12955" w:type="dxa"/>
            <w:gridSpan w:val="4"/>
            <w:tcBorders>
              <w:bottom w:val="single" w:sz="4" w:space="0" w:color="DDE0E3" w:themeColor="accent3" w:themeTint="33"/>
            </w:tcBorders>
            <w:shd w:val="clear" w:color="auto" w:fill="F2F2F2"/>
          </w:tcPr>
          <w:p w14:paraId="563435EF" w14:textId="77777777" w:rsidR="00396406" w:rsidRPr="00464BF8" w:rsidRDefault="00396406" w:rsidP="00396406">
            <w:pPr>
              <w:ind w:right="-18"/>
              <w:rPr>
                <w:rFonts w:cstheme="minorHAnsi"/>
                <w:iCs/>
                <w:color w:val="646464"/>
                <w:sz w:val="20"/>
              </w:rPr>
            </w:pPr>
            <w:r w:rsidRPr="00464BF8">
              <w:rPr>
                <w:rFonts w:cstheme="minorHAnsi"/>
                <w:b/>
                <w:sz w:val="20"/>
              </w:rPr>
              <w:t>8.2 Implementation update</w:t>
            </w:r>
          </w:p>
        </w:tc>
      </w:tr>
      <w:tr w:rsidR="00396406" w:rsidRPr="00CA5CFA" w14:paraId="0DA08D0F" w14:textId="77777777" w:rsidTr="0030710E">
        <w:trPr>
          <w:cantSplit/>
          <w:trHeight w:val="233"/>
        </w:trPr>
        <w:tc>
          <w:tcPr>
            <w:tcW w:w="4945" w:type="dxa"/>
            <w:tcBorders>
              <w:top w:val="single" w:sz="4" w:space="0" w:color="DDE0E3" w:themeColor="accent3" w:themeTint="33"/>
              <w:left w:val="single" w:sz="4" w:space="0" w:color="auto"/>
              <w:bottom w:val="single" w:sz="4" w:space="0" w:color="DDE0E3" w:themeColor="accent3" w:themeTint="33"/>
            </w:tcBorders>
          </w:tcPr>
          <w:p w14:paraId="7C98AE9F" w14:textId="77777777" w:rsidR="00396406" w:rsidRPr="00464BF8" w:rsidRDefault="00396406" w:rsidP="00396406">
            <w:pPr>
              <w:spacing w:before="40" w:after="40"/>
              <w:rPr>
                <w:rFonts w:cstheme="minorHAnsi"/>
                <w:sz w:val="20"/>
              </w:rPr>
            </w:pPr>
            <w:r w:rsidRPr="00464BF8">
              <w:rPr>
                <w:rFonts w:cstheme="minorHAnsi"/>
                <w:color w:val="000000" w:themeColor="text1"/>
                <w:sz w:val="20"/>
              </w:rPr>
              <w:t>8.2.1 Compared to the demonstration design and operational details</w:t>
            </w:r>
            <w:r w:rsidRPr="00464BF8">
              <w:rPr>
                <w:rFonts w:cstheme="minorHAnsi"/>
                <w:sz w:val="20"/>
              </w:rPr>
              <w:t xml:space="preserve">, the state expects to make the following changes to: </w:t>
            </w:r>
          </w:p>
          <w:p w14:paraId="087005D9" w14:textId="77777777" w:rsidR="00396406" w:rsidRPr="00464BF8" w:rsidRDefault="00396406" w:rsidP="00396406">
            <w:pPr>
              <w:pStyle w:val="ListParagraph"/>
              <w:numPr>
                <w:ilvl w:val="0"/>
                <w:numId w:val="44"/>
              </w:numPr>
              <w:spacing w:before="40" w:after="40" w:line="240" w:lineRule="auto"/>
              <w:ind w:left="876" w:hanging="180"/>
              <w:rPr>
                <w:rFonts w:cstheme="minorHAnsi"/>
                <w:iCs/>
                <w:sz w:val="20"/>
              </w:rPr>
            </w:pPr>
            <w:r w:rsidRPr="00464BF8">
              <w:rPr>
                <w:rFonts w:cstheme="minorHAnsi"/>
                <w:sz w:val="20"/>
              </w:rPr>
              <w:t>How health IT is being used to slow down the rate of growth of individuals identified with SUD</w:t>
            </w:r>
          </w:p>
        </w:tc>
        <w:tc>
          <w:tcPr>
            <w:tcW w:w="1440" w:type="dxa"/>
            <w:tcBorders>
              <w:top w:val="single" w:sz="4" w:space="0" w:color="DDE0E3" w:themeColor="accent3" w:themeTint="33"/>
              <w:bottom w:val="single" w:sz="4" w:space="0" w:color="DDE0E3" w:themeColor="accent3" w:themeTint="33"/>
            </w:tcBorders>
          </w:tcPr>
          <w:p w14:paraId="4C9D0184" w14:textId="43D2DF53" w:rsidR="00396406" w:rsidRPr="00A34958" w:rsidRDefault="00480A67" w:rsidP="00396406">
            <w:pPr>
              <w:spacing w:before="40" w:after="40"/>
              <w:ind w:right="-18"/>
              <w:rPr>
                <w:rFonts w:cstheme="minorHAnsi"/>
                <w:iCs/>
                <w:sz w:val="20"/>
              </w:rPr>
            </w:pPr>
            <w:r>
              <w:rPr>
                <w:rFonts w:cstheme="minorHAnsi"/>
                <w:iCs/>
                <w:sz w:val="20"/>
              </w:rPr>
              <w:t>X</w:t>
            </w:r>
          </w:p>
        </w:tc>
        <w:tc>
          <w:tcPr>
            <w:tcW w:w="1710" w:type="dxa"/>
            <w:tcBorders>
              <w:top w:val="single" w:sz="4" w:space="0" w:color="DDE0E3" w:themeColor="accent3" w:themeTint="33"/>
              <w:bottom w:val="single" w:sz="4" w:space="0" w:color="DDE0E3" w:themeColor="accent3" w:themeTint="33"/>
            </w:tcBorders>
            <w:shd w:val="clear" w:color="auto" w:fill="D9D9D9"/>
          </w:tcPr>
          <w:p w14:paraId="3E4FFAD2" w14:textId="77777777" w:rsidR="00396406" w:rsidRPr="00A34958" w:rsidRDefault="00396406" w:rsidP="00396406">
            <w:pPr>
              <w:spacing w:before="40" w:after="40"/>
              <w:ind w:right="-18"/>
              <w:rPr>
                <w:rFonts w:cstheme="minorHAnsi"/>
                <w:iCs/>
                <w:sz w:val="20"/>
              </w:rPr>
            </w:pPr>
            <w:r w:rsidRPr="00A34958">
              <w:rPr>
                <w:rFonts w:cstheme="minorHAnsi"/>
                <w:iCs/>
                <w:sz w:val="20"/>
              </w:rPr>
              <w:t xml:space="preserve"> </w:t>
            </w:r>
          </w:p>
        </w:tc>
        <w:tc>
          <w:tcPr>
            <w:tcW w:w="4860" w:type="dxa"/>
            <w:tcBorders>
              <w:top w:val="single" w:sz="4" w:space="0" w:color="DDE0E3" w:themeColor="accent3" w:themeTint="33"/>
              <w:bottom w:val="single" w:sz="4" w:space="0" w:color="DDE0E3" w:themeColor="accent3" w:themeTint="33"/>
              <w:right w:val="single" w:sz="4" w:space="0" w:color="auto"/>
            </w:tcBorders>
          </w:tcPr>
          <w:p w14:paraId="1D562A46" w14:textId="621021A8" w:rsidR="00396406" w:rsidRPr="00A34958" w:rsidRDefault="00620F11" w:rsidP="00620F11">
            <w:pPr>
              <w:spacing w:before="40" w:after="40"/>
              <w:ind w:right="-18"/>
              <w:rPr>
                <w:rFonts w:cstheme="minorHAnsi"/>
                <w:iCs/>
                <w:sz w:val="20"/>
              </w:rPr>
            </w:pPr>
            <w:r w:rsidRPr="00620F11">
              <w:rPr>
                <w:rFonts w:cstheme="minorHAnsi"/>
                <w:iCs/>
                <w:sz w:val="20"/>
              </w:rPr>
              <w:t>Note: A general update on the Health IT Plan and data for DY4 (Q3) is included in LA_SUDH</w:t>
            </w:r>
            <w:r w:rsidR="00172A22">
              <w:rPr>
                <w:rFonts w:cstheme="minorHAnsi"/>
                <w:iCs/>
                <w:sz w:val="20"/>
              </w:rPr>
              <w:t>IT-DY4Q3_Report_Part-A1_20220225</w:t>
            </w:r>
            <w:r w:rsidRPr="00620F11">
              <w:rPr>
                <w:rFonts w:cstheme="minorHAnsi"/>
                <w:iCs/>
                <w:sz w:val="20"/>
              </w:rPr>
              <w:t xml:space="preserve"> and LA_SUDHIT-</w:t>
            </w:r>
            <w:r w:rsidR="00172A22">
              <w:rPr>
                <w:rFonts w:cstheme="minorHAnsi"/>
                <w:iCs/>
                <w:sz w:val="20"/>
              </w:rPr>
              <w:t>DY4Q3_Report_Part-A2_20220225</w:t>
            </w:r>
            <w:bookmarkStart w:id="14" w:name="_GoBack"/>
            <w:bookmarkEnd w:id="14"/>
            <w:r>
              <w:rPr>
                <w:rFonts w:cstheme="minorHAnsi"/>
                <w:iCs/>
                <w:sz w:val="20"/>
              </w:rPr>
              <w:t xml:space="preserve">. </w:t>
            </w:r>
            <w:r w:rsidRPr="00620F11">
              <w:rPr>
                <w:rFonts w:cstheme="minorHAnsi"/>
                <w:iCs/>
                <w:sz w:val="20"/>
              </w:rPr>
              <w:t>Additionally, the uploaded LA_SUD-DY4Q3_Report_Part-A_202</w:t>
            </w:r>
            <w:r>
              <w:rPr>
                <w:rFonts w:cstheme="minorHAnsi"/>
                <w:iCs/>
                <w:sz w:val="20"/>
              </w:rPr>
              <w:t>20225</w:t>
            </w:r>
            <w:r w:rsidRPr="00620F11">
              <w:rPr>
                <w:rFonts w:cstheme="minorHAnsi"/>
                <w:iCs/>
                <w:sz w:val="20"/>
              </w:rPr>
              <w:t xml:space="preserve"> includes data for the HIT metrics.</w:t>
            </w:r>
          </w:p>
        </w:tc>
      </w:tr>
      <w:tr w:rsidR="00396406" w:rsidRPr="00CA5CFA" w14:paraId="0461EC23" w14:textId="77777777" w:rsidTr="0030710E">
        <w:trPr>
          <w:cantSplit/>
          <w:trHeight w:val="233"/>
        </w:trPr>
        <w:tc>
          <w:tcPr>
            <w:tcW w:w="4945" w:type="dxa"/>
            <w:tcBorders>
              <w:top w:val="single" w:sz="4" w:space="0" w:color="DDE0E3" w:themeColor="accent3" w:themeTint="33"/>
            </w:tcBorders>
          </w:tcPr>
          <w:p w14:paraId="635032D1" w14:textId="77777777" w:rsidR="00396406" w:rsidRPr="00464BF8" w:rsidRDefault="00396406" w:rsidP="00396406">
            <w:pPr>
              <w:spacing w:before="40" w:after="40"/>
              <w:rPr>
                <w:rFonts w:cstheme="minorHAnsi"/>
                <w:iCs/>
                <w:sz w:val="20"/>
              </w:rPr>
            </w:pPr>
            <w:r w:rsidRPr="00464BF8">
              <w:rPr>
                <w:rFonts w:cstheme="minorHAnsi"/>
                <w:sz w:val="20"/>
              </w:rPr>
              <w:t>How health IT is being used to treat effectively individuals identified with SUD</w:t>
            </w:r>
          </w:p>
        </w:tc>
        <w:tc>
          <w:tcPr>
            <w:tcW w:w="1440" w:type="dxa"/>
            <w:tcBorders>
              <w:top w:val="single" w:sz="4" w:space="0" w:color="DDE0E3" w:themeColor="accent3" w:themeTint="33"/>
            </w:tcBorders>
          </w:tcPr>
          <w:p w14:paraId="16BA68E0" w14:textId="3B29A826" w:rsidR="00396406" w:rsidRPr="00A34958" w:rsidRDefault="002C240B" w:rsidP="00396406">
            <w:pPr>
              <w:spacing w:before="40" w:after="40"/>
              <w:ind w:right="-18"/>
              <w:rPr>
                <w:rFonts w:cstheme="minorHAnsi"/>
                <w:iCs/>
                <w:sz w:val="20"/>
              </w:rPr>
            </w:pPr>
            <w:r w:rsidRPr="00A34958">
              <w:rPr>
                <w:rFonts w:cstheme="minorHAnsi"/>
                <w:iCs/>
                <w:sz w:val="20"/>
              </w:rPr>
              <w:t>X</w:t>
            </w:r>
          </w:p>
        </w:tc>
        <w:tc>
          <w:tcPr>
            <w:tcW w:w="1710" w:type="dxa"/>
            <w:tcBorders>
              <w:top w:val="single" w:sz="4" w:space="0" w:color="DDE0E3" w:themeColor="accent3" w:themeTint="33"/>
            </w:tcBorders>
            <w:shd w:val="clear" w:color="auto" w:fill="D9D9D9"/>
          </w:tcPr>
          <w:p w14:paraId="085610E7" w14:textId="77777777" w:rsidR="00396406" w:rsidRPr="00A34958" w:rsidRDefault="00396406" w:rsidP="00396406">
            <w:pPr>
              <w:spacing w:before="40" w:after="40"/>
              <w:ind w:right="-18"/>
              <w:rPr>
                <w:rFonts w:cstheme="minorHAnsi"/>
                <w:iCs/>
                <w:sz w:val="20"/>
              </w:rPr>
            </w:pPr>
            <w:r w:rsidRPr="00A34958">
              <w:rPr>
                <w:rFonts w:cstheme="minorHAnsi"/>
                <w:iCs/>
                <w:sz w:val="20"/>
              </w:rPr>
              <w:t xml:space="preserve"> </w:t>
            </w:r>
          </w:p>
        </w:tc>
        <w:tc>
          <w:tcPr>
            <w:tcW w:w="4860" w:type="dxa"/>
            <w:tcBorders>
              <w:top w:val="single" w:sz="4" w:space="0" w:color="DDE0E3" w:themeColor="accent3" w:themeTint="33"/>
            </w:tcBorders>
          </w:tcPr>
          <w:p w14:paraId="68D311E2" w14:textId="77777777" w:rsidR="00396406" w:rsidRPr="00A34958" w:rsidRDefault="00396406" w:rsidP="00396406">
            <w:pPr>
              <w:spacing w:before="40" w:after="40"/>
              <w:ind w:right="-18"/>
              <w:rPr>
                <w:rFonts w:cstheme="minorHAnsi"/>
                <w:iCs/>
                <w:sz w:val="20"/>
              </w:rPr>
            </w:pPr>
            <w:r w:rsidRPr="00A34958">
              <w:rPr>
                <w:rFonts w:cstheme="minorHAnsi"/>
                <w:iCs/>
                <w:sz w:val="20"/>
              </w:rPr>
              <w:t xml:space="preserve"> </w:t>
            </w:r>
          </w:p>
        </w:tc>
      </w:tr>
      <w:tr w:rsidR="00396406" w:rsidRPr="00CA5CFA" w14:paraId="4344FB23" w14:textId="77777777" w:rsidTr="00CC2FC2">
        <w:trPr>
          <w:cantSplit/>
          <w:trHeight w:val="233"/>
        </w:trPr>
        <w:tc>
          <w:tcPr>
            <w:tcW w:w="4945" w:type="dxa"/>
          </w:tcPr>
          <w:p w14:paraId="3BACB6CF" w14:textId="77777777" w:rsidR="00396406" w:rsidRPr="00E60D72" w:rsidRDefault="00396406" w:rsidP="00396406">
            <w:pPr>
              <w:pStyle w:val="ListParagraph"/>
              <w:numPr>
                <w:ilvl w:val="0"/>
                <w:numId w:val="44"/>
              </w:numPr>
              <w:spacing w:before="40" w:after="40" w:line="240" w:lineRule="auto"/>
              <w:ind w:left="876" w:hanging="180"/>
              <w:rPr>
                <w:rFonts w:cstheme="minorHAnsi"/>
                <w:sz w:val="20"/>
              </w:rPr>
            </w:pPr>
            <w:r w:rsidRPr="00464BF8">
              <w:rPr>
                <w:rFonts w:cstheme="minorHAnsi"/>
                <w:sz w:val="20"/>
              </w:rPr>
              <w:t>How health IT is being used to effectively monitor “recovery” supports and services for individuals identified with SUD</w:t>
            </w:r>
          </w:p>
        </w:tc>
        <w:tc>
          <w:tcPr>
            <w:tcW w:w="1440" w:type="dxa"/>
          </w:tcPr>
          <w:p w14:paraId="6BEDF099" w14:textId="3030DB11" w:rsidR="00396406" w:rsidRPr="00A34958" w:rsidRDefault="002C240B" w:rsidP="00396406">
            <w:pPr>
              <w:spacing w:before="40" w:after="40"/>
              <w:ind w:right="-18"/>
              <w:rPr>
                <w:rFonts w:cstheme="minorHAnsi"/>
                <w:iCs/>
                <w:sz w:val="20"/>
              </w:rPr>
            </w:pPr>
            <w:r w:rsidRPr="00A34958">
              <w:rPr>
                <w:rFonts w:cstheme="minorHAnsi"/>
                <w:iCs/>
                <w:sz w:val="20"/>
              </w:rPr>
              <w:t>X</w:t>
            </w:r>
          </w:p>
        </w:tc>
        <w:tc>
          <w:tcPr>
            <w:tcW w:w="1710" w:type="dxa"/>
            <w:shd w:val="clear" w:color="auto" w:fill="D9D9D9"/>
          </w:tcPr>
          <w:p w14:paraId="22340FC6" w14:textId="77777777" w:rsidR="00396406" w:rsidRPr="00464BF8" w:rsidRDefault="00396406" w:rsidP="00396406">
            <w:pPr>
              <w:spacing w:before="40" w:after="40"/>
              <w:ind w:right="-18"/>
              <w:rPr>
                <w:rFonts w:cstheme="minorHAnsi"/>
                <w:iCs/>
                <w:color w:val="646464"/>
                <w:sz w:val="20"/>
              </w:rPr>
            </w:pPr>
            <w:r w:rsidRPr="00464BF8">
              <w:rPr>
                <w:rFonts w:cstheme="minorHAnsi"/>
                <w:iCs/>
                <w:color w:val="646464"/>
                <w:sz w:val="20"/>
              </w:rPr>
              <w:t xml:space="preserve"> </w:t>
            </w:r>
          </w:p>
        </w:tc>
        <w:tc>
          <w:tcPr>
            <w:tcW w:w="4860" w:type="dxa"/>
          </w:tcPr>
          <w:p w14:paraId="424DF1E0" w14:textId="77777777" w:rsidR="00396406" w:rsidRPr="00464BF8" w:rsidRDefault="00396406" w:rsidP="00396406">
            <w:pPr>
              <w:spacing w:before="40" w:after="40"/>
              <w:ind w:right="-18"/>
              <w:rPr>
                <w:rFonts w:cstheme="minorHAnsi"/>
                <w:iCs/>
                <w:color w:val="646464"/>
                <w:sz w:val="20"/>
              </w:rPr>
            </w:pPr>
            <w:r w:rsidRPr="00464BF8">
              <w:rPr>
                <w:rFonts w:cstheme="minorHAnsi"/>
                <w:iCs/>
                <w:color w:val="646464"/>
                <w:sz w:val="20"/>
              </w:rPr>
              <w:t xml:space="preserve"> </w:t>
            </w:r>
          </w:p>
        </w:tc>
      </w:tr>
      <w:tr w:rsidR="00396406" w:rsidRPr="00CA5CFA" w14:paraId="7E745545" w14:textId="77777777" w:rsidTr="00CC2FC2">
        <w:trPr>
          <w:cantSplit/>
          <w:trHeight w:val="233"/>
        </w:trPr>
        <w:tc>
          <w:tcPr>
            <w:tcW w:w="4945" w:type="dxa"/>
          </w:tcPr>
          <w:p w14:paraId="4863429C" w14:textId="77777777" w:rsidR="00396406" w:rsidRPr="00464BF8" w:rsidRDefault="00396406" w:rsidP="00396406">
            <w:pPr>
              <w:pStyle w:val="ListParagraph"/>
              <w:numPr>
                <w:ilvl w:val="0"/>
                <w:numId w:val="44"/>
              </w:numPr>
              <w:spacing w:before="40" w:after="40" w:line="240" w:lineRule="auto"/>
              <w:ind w:left="876" w:hanging="180"/>
              <w:rPr>
                <w:rFonts w:cstheme="minorHAnsi"/>
                <w:iCs/>
                <w:sz w:val="20"/>
              </w:rPr>
            </w:pPr>
            <w:r w:rsidRPr="00464BF8">
              <w:rPr>
                <w:rFonts w:cstheme="minorHAnsi"/>
                <w:sz w:val="20"/>
              </w:rPr>
              <w:t>Other aspects of the state’s plan to develop the health IT infrastructure/capabilities at the state, delivery system, health plan/MCO, and individual provider levels</w:t>
            </w:r>
          </w:p>
        </w:tc>
        <w:tc>
          <w:tcPr>
            <w:tcW w:w="1440" w:type="dxa"/>
          </w:tcPr>
          <w:p w14:paraId="22FF2CCC" w14:textId="16CE1776" w:rsidR="00396406" w:rsidRPr="00A34958" w:rsidRDefault="002C240B" w:rsidP="00396406">
            <w:pPr>
              <w:spacing w:before="40" w:after="40"/>
              <w:ind w:right="-18"/>
              <w:rPr>
                <w:rFonts w:cstheme="minorHAnsi"/>
                <w:iCs/>
                <w:sz w:val="20"/>
              </w:rPr>
            </w:pPr>
            <w:r w:rsidRPr="00A34958">
              <w:rPr>
                <w:rFonts w:cstheme="minorHAnsi"/>
                <w:iCs/>
                <w:sz w:val="20"/>
              </w:rPr>
              <w:t>X</w:t>
            </w:r>
          </w:p>
        </w:tc>
        <w:tc>
          <w:tcPr>
            <w:tcW w:w="1710" w:type="dxa"/>
            <w:shd w:val="clear" w:color="auto" w:fill="D9D9D9"/>
          </w:tcPr>
          <w:p w14:paraId="32664495" w14:textId="77777777" w:rsidR="00396406" w:rsidRPr="00464BF8" w:rsidRDefault="00396406" w:rsidP="00396406">
            <w:pPr>
              <w:spacing w:before="40" w:after="40"/>
              <w:ind w:right="-18"/>
              <w:rPr>
                <w:rFonts w:cstheme="minorHAnsi"/>
                <w:iCs/>
                <w:color w:val="646464"/>
                <w:sz w:val="20"/>
              </w:rPr>
            </w:pPr>
            <w:r w:rsidRPr="00464BF8">
              <w:rPr>
                <w:rFonts w:cstheme="minorHAnsi"/>
                <w:iCs/>
                <w:color w:val="646464"/>
                <w:sz w:val="20"/>
              </w:rPr>
              <w:t xml:space="preserve"> </w:t>
            </w:r>
          </w:p>
        </w:tc>
        <w:tc>
          <w:tcPr>
            <w:tcW w:w="4860" w:type="dxa"/>
          </w:tcPr>
          <w:p w14:paraId="1861E3FE" w14:textId="77777777" w:rsidR="00396406" w:rsidRPr="00464BF8" w:rsidRDefault="00396406" w:rsidP="00396406">
            <w:pPr>
              <w:spacing w:before="40" w:after="40"/>
              <w:ind w:right="-18"/>
              <w:rPr>
                <w:rFonts w:cstheme="minorHAnsi"/>
                <w:iCs/>
                <w:color w:val="646464"/>
                <w:sz w:val="20"/>
              </w:rPr>
            </w:pPr>
            <w:r w:rsidRPr="00464BF8">
              <w:rPr>
                <w:rFonts w:cstheme="minorHAnsi"/>
                <w:iCs/>
                <w:color w:val="646464"/>
                <w:sz w:val="20"/>
              </w:rPr>
              <w:t xml:space="preserve"> </w:t>
            </w:r>
          </w:p>
        </w:tc>
      </w:tr>
      <w:tr w:rsidR="00396406" w:rsidRPr="00CA5CFA" w14:paraId="1603E924" w14:textId="77777777" w:rsidTr="001369C6">
        <w:trPr>
          <w:cantSplit/>
          <w:trHeight w:val="233"/>
        </w:trPr>
        <w:tc>
          <w:tcPr>
            <w:tcW w:w="4945" w:type="dxa"/>
            <w:tcBorders>
              <w:bottom w:val="single" w:sz="4" w:space="0" w:color="DDE0E3" w:themeColor="accent3" w:themeTint="33"/>
            </w:tcBorders>
          </w:tcPr>
          <w:p w14:paraId="4FF83BA4" w14:textId="77777777" w:rsidR="00396406" w:rsidRPr="00464BF8" w:rsidRDefault="00396406" w:rsidP="00396406">
            <w:pPr>
              <w:pStyle w:val="ListParagraph"/>
              <w:numPr>
                <w:ilvl w:val="0"/>
                <w:numId w:val="44"/>
              </w:numPr>
              <w:spacing w:before="40" w:after="40" w:line="240" w:lineRule="auto"/>
              <w:ind w:left="876" w:hanging="180"/>
              <w:rPr>
                <w:rFonts w:cstheme="minorHAnsi"/>
                <w:iCs/>
                <w:sz w:val="20"/>
              </w:rPr>
            </w:pPr>
            <w:r w:rsidRPr="00464BF8">
              <w:rPr>
                <w:rFonts w:cstheme="minorHAnsi"/>
                <w:sz w:val="20"/>
              </w:rPr>
              <w:lastRenderedPageBreak/>
              <w:t>Other aspects of the state’s health IT implementation milestones</w:t>
            </w:r>
          </w:p>
        </w:tc>
        <w:tc>
          <w:tcPr>
            <w:tcW w:w="1440" w:type="dxa"/>
            <w:tcBorders>
              <w:bottom w:val="single" w:sz="4" w:space="0" w:color="DDE0E3" w:themeColor="accent3" w:themeTint="33"/>
            </w:tcBorders>
          </w:tcPr>
          <w:p w14:paraId="0114DAEC" w14:textId="0483B023" w:rsidR="00396406" w:rsidRPr="00A34958" w:rsidRDefault="002C240B" w:rsidP="00396406">
            <w:pPr>
              <w:spacing w:before="40" w:after="40"/>
              <w:ind w:right="-18"/>
              <w:rPr>
                <w:rFonts w:cstheme="minorHAnsi"/>
                <w:iCs/>
                <w:sz w:val="20"/>
              </w:rPr>
            </w:pPr>
            <w:r w:rsidRPr="00A34958">
              <w:rPr>
                <w:rFonts w:cstheme="minorHAnsi"/>
                <w:iCs/>
                <w:sz w:val="20"/>
              </w:rPr>
              <w:t>X</w:t>
            </w:r>
          </w:p>
        </w:tc>
        <w:tc>
          <w:tcPr>
            <w:tcW w:w="1710" w:type="dxa"/>
            <w:tcBorders>
              <w:bottom w:val="single" w:sz="4" w:space="0" w:color="DDE0E3" w:themeColor="accent3" w:themeTint="33"/>
            </w:tcBorders>
            <w:shd w:val="clear" w:color="auto" w:fill="D9D9D9"/>
          </w:tcPr>
          <w:p w14:paraId="181F4922" w14:textId="77777777" w:rsidR="00396406" w:rsidRPr="00464BF8" w:rsidRDefault="00396406" w:rsidP="00396406">
            <w:pPr>
              <w:spacing w:before="40" w:after="40"/>
              <w:ind w:right="-18"/>
              <w:rPr>
                <w:rFonts w:cstheme="minorHAnsi"/>
                <w:iCs/>
                <w:color w:val="646464"/>
                <w:sz w:val="20"/>
              </w:rPr>
            </w:pPr>
            <w:r w:rsidRPr="00464BF8">
              <w:rPr>
                <w:rFonts w:cstheme="minorHAnsi"/>
                <w:iCs/>
                <w:color w:val="646464"/>
                <w:sz w:val="20"/>
              </w:rPr>
              <w:t xml:space="preserve"> </w:t>
            </w:r>
          </w:p>
        </w:tc>
        <w:tc>
          <w:tcPr>
            <w:tcW w:w="4860" w:type="dxa"/>
            <w:tcBorders>
              <w:bottom w:val="single" w:sz="4" w:space="0" w:color="DDE0E3" w:themeColor="accent3" w:themeTint="33"/>
            </w:tcBorders>
          </w:tcPr>
          <w:p w14:paraId="03455614" w14:textId="77777777" w:rsidR="00396406" w:rsidRPr="00464BF8" w:rsidRDefault="00396406" w:rsidP="00396406">
            <w:pPr>
              <w:spacing w:before="40" w:after="40"/>
              <w:ind w:right="-18"/>
              <w:rPr>
                <w:rFonts w:cstheme="minorHAnsi"/>
                <w:iCs/>
                <w:color w:val="646464"/>
                <w:sz w:val="20"/>
              </w:rPr>
            </w:pPr>
            <w:r w:rsidRPr="00464BF8">
              <w:rPr>
                <w:rFonts w:cstheme="minorHAnsi"/>
                <w:iCs/>
                <w:color w:val="646464"/>
                <w:sz w:val="20"/>
              </w:rPr>
              <w:t xml:space="preserve"> </w:t>
            </w:r>
          </w:p>
        </w:tc>
      </w:tr>
      <w:tr w:rsidR="00396406" w:rsidRPr="00CA5CFA" w14:paraId="42EA0426" w14:textId="77777777" w:rsidTr="001369C6">
        <w:trPr>
          <w:cantSplit/>
          <w:trHeight w:val="233"/>
        </w:trPr>
        <w:tc>
          <w:tcPr>
            <w:tcW w:w="4945" w:type="dxa"/>
            <w:tcBorders>
              <w:top w:val="single" w:sz="4" w:space="0" w:color="DDE0E3" w:themeColor="accent3" w:themeTint="33"/>
              <w:bottom w:val="single" w:sz="4" w:space="0" w:color="DDE0E3" w:themeColor="accent3" w:themeTint="33"/>
            </w:tcBorders>
          </w:tcPr>
          <w:p w14:paraId="2F13B7D3" w14:textId="77777777" w:rsidR="00396406" w:rsidRPr="00464BF8" w:rsidRDefault="00396406" w:rsidP="00396406">
            <w:pPr>
              <w:pStyle w:val="ListParagraph"/>
              <w:numPr>
                <w:ilvl w:val="0"/>
                <w:numId w:val="44"/>
              </w:numPr>
              <w:spacing w:before="40" w:after="40" w:line="240" w:lineRule="auto"/>
              <w:ind w:left="876" w:hanging="180"/>
              <w:rPr>
                <w:rFonts w:cstheme="minorHAnsi"/>
                <w:iCs/>
                <w:sz w:val="20"/>
              </w:rPr>
            </w:pPr>
            <w:r w:rsidRPr="00464BF8">
              <w:rPr>
                <w:rFonts w:cstheme="minorHAnsi"/>
                <w:sz w:val="20"/>
              </w:rPr>
              <w:t>The timeline for achieving health IT implementation milestones</w:t>
            </w:r>
          </w:p>
        </w:tc>
        <w:tc>
          <w:tcPr>
            <w:tcW w:w="1440" w:type="dxa"/>
            <w:tcBorders>
              <w:top w:val="single" w:sz="4" w:space="0" w:color="DDE0E3" w:themeColor="accent3" w:themeTint="33"/>
              <w:bottom w:val="single" w:sz="4" w:space="0" w:color="DDE0E3" w:themeColor="accent3" w:themeTint="33"/>
            </w:tcBorders>
          </w:tcPr>
          <w:p w14:paraId="227FF328" w14:textId="2D48C187" w:rsidR="00396406" w:rsidRPr="00A34958" w:rsidRDefault="002C240B" w:rsidP="00396406">
            <w:pPr>
              <w:spacing w:before="40" w:after="40"/>
              <w:ind w:right="-18"/>
              <w:rPr>
                <w:rFonts w:cstheme="minorHAnsi"/>
                <w:iCs/>
                <w:sz w:val="20"/>
              </w:rPr>
            </w:pPr>
            <w:r w:rsidRPr="00A34958">
              <w:rPr>
                <w:rFonts w:cstheme="minorHAnsi"/>
                <w:iCs/>
                <w:sz w:val="20"/>
              </w:rPr>
              <w:t>X</w:t>
            </w:r>
          </w:p>
        </w:tc>
        <w:tc>
          <w:tcPr>
            <w:tcW w:w="1710" w:type="dxa"/>
            <w:tcBorders>
              <w:top w:val="single" w:sz="4" w:space="0" w:color="DDE0E3" w:themeColor="accent3" w:themeTint="33"/>
              <w:bottom w:val="single" w:sz="4" w:space="0" w:color="DDE0E3" w:themeColor="accent3" w:themeTint="33"/>
            </w:tcBorders>
            <w:shd w:val="clear" w:color="auto" w:fill="D9D9D9"/>
          </w:tcPr>
          <w:p w14:paraId="21A00B08" w14:textId="77777777" w:rsidR="00396406" w:rsidRPr="00464BF8" w:rsidRDefault="00396406" w:rsidP="00396406">
            <w:pPr>
              <w:spacing w:before="40" w:after="40"/>
              <w:ind w:right="-18"/>
              <w:rPr>
                <w:rFonts w:cstheme="minorHAnsi"/>
                <w:iCs/>
                <w:color w:val="646464"/>
                <w:sz w:val="20"/>
              </w:rPr>
            </w:pPr>
            <w:r w:rsidRPr="00464BF8">
              <w:rPr>
                <w:rFonts w:cstheme="minorHAnsi"/>
                <w:iCs/>
                <w:color w:val="646464"/>
                <w:sz w:val="20"/>
              </w:rPr>
              <w:t xml:space="preserve"> </w:t>
            </w:r>
          </w:p>
        </w:tc>
        <w:tc>
          <w:tcPr>
            <w:tcW w:w="4860" w:type="dxa"/>
            <w:tcBorders>
              <w:top w:val="single" w:sz="4" w:space="0" w:color="DDE0E3" w:themeColor="accent3" w:themeTint="33"/>
              <w:bottom w:val="single" w:sz="4" w:space="0" w:color="DDE0E3" w:themeColor="accent3" w:themeTint="33"/>
            </w:tcBorders>
          </w:tcPr>
          <w:p w14:paraId="13D3E44C" w14:textId="77777777" w:rsidR="00396406" w:rsidRPr="00464BF8" w:rsidRDefault="00396406" w:rsidP="00396406">
            <w:pPr>
              <w:spacing w:before="40" w:after="40"/>
              <w:ind w:right="-18"/>
              <w:rPr>
                <w:rFonts w:cstheme="minorHAnsi"/>
                <w:iCs/>
                <w:color w:val="646464"/>
                <w:sz w:val="20"/>
              </w:rPr>
            </w:pPr>
            <w:r w:rsidRPr="00464BF8">
              <w:rPr>
                <w:rFonts w:cstheme="minorHAnsi"/>
                <w:iCs/>
                <w:color w:val="646464"/>
                <w:sz w:val="20"/>
              </w:rPr>
              <w:t xml:space="preserve"> </w:t>
            </w:r>
          </w:p>
        </w:tc>
      </w:tr>
      <w:tr w:rsidR="00396406" w:rsidRPr="00CA5CFA" w14:paraId="52CA348C" w14:textId="77777777" w:rsidTr="001369C6">
        <w:trPr>
          <w:cantSplit/>
          <w:trHeight w:val="233"/>
        </w:trPr>
        <w:tc>
          <w:tcPr>
            <w:tcW w:w="4945" w:type="dxa"/>
            <w:tcBorders>
              <w:top w:val="single" w:sz="4" w:space="0" w:color="DDE0E3" w:themeColor="accent3" w:themeTint="33"/>
            </w:tcBorders>
          </w:tcPr>
          <w:p w14:paraId="26AE0168" w14:textId="77777777" w:rsidR="00396406" w:rsidRPr="00464BF8" w:rsidRDefault="00396406" w:rsidP="00396406">
            <w:pPr>
              <w:pStyle w:val="ListParagraph"/>
              <w:numPr>
                <w:ilvl w:val="0"/>
                <w:numId w:val="44"/>
              </w:numPr>
              <w:spacing w:before="40" w:after="40" w:line="240" w:lineRule="auto"/>
              <w:ind w:left="876" w:hanging="180"/>
              <w:rPr>
                <w:rFonts w:cstheme="minorHAnsi"/>
                <w:iCs/>
                <w:sz w:val="20"/>
              </w:rPr>
            </w:pPr>
            <w:r w:rsidRPr="00464BF8">
              <w:rPr>
                <w:rFonts w:cstheme="minorHAnsi"/>
                <w:color w:val="000000"/>
                <w:sz w:val="20"/>
              </w:rPr>
              <w:t>Planned activities to increase use and functionality of the state’s prescription drug monitoring program</w:t>
            </w:r>
          </w:p>
        </w:tc>
        <w:tc>
          <w:tcPr>
            <w:tcW w:w="1440" w:type="dxa"/>
            <w:tcBorders>
              <w:top w:val="single" w:sz="4" w:space="0" w:color="DDE0E3" w:themeColor="accent3" w:themeTint="33"/>
            </w:tcBorders>
          </w:tcPr>
          <w:p w14:paraId="7C78BB9C" w14:textId="683108C0" w:rsidR="00396406" w:rsidRPr="00A34958" w:rsidRDefault="002C240B" w:rsidP="00396406">
            <w:pPr>
              <w:spacing w:before="40" w:after="40"/>
              <w:ind w:right="-18"/>
              <w:rPr>
                <w:rFonts w:cstheme="minorHAnsi"/>
                <w:iCs/>
                <w:sz w:val="20"/>
              </w:rPr>
            </w:pPr>
            <w:r w:rsidRPr="00A34958">
              <w:rPr>
                <w:rFonts w:cstheme="minorHAnsi"/>
                <w:iCs/>
                <w:sz w:val="20"/>
              </w:rPr>
              <w:t>X</w:t>
            </w:r>
          </w:p>
        </w:tc>
        <w:tc>
          <w:tcPr>
            <w:tcW w:w="1710" w:type="dxa"/>
            <w:tcBorders>
              <w:top w:val="single" w:sz="4" w:space="0" w:color="DDE0E3" w:themeColor="accent3" w:themeTint="33"/>
            </w:tcBorders>
            <w:shd w:val="clear" w:color="auto" w:fill="D9D9D9"/>
          </w:tcPr>
          <w:p w14:paraId="3EC23ECA" w14:textId="77777777" w:rsidR="00396406" w:rsidRPr="00464BF8" w:rsidRDefault="00396406" w:rsidP="00396406">
            <w:pPr>
              <w:spacing w:before="40" w:after="40"/>
              <w:ind w:right="-18"/>
              <w:rPr>
                <w:rFonts w:cstheme="minorHAnsi"/>
                <w:iCs/>
                <w:color w:val="646464"/>
                <w:sz w:val="20"/>
              </w:rPr>
            </w:pPr>
            <w:r w:rsidRPr="00464BF8">
              <w:rPr>
                <w:rFonts w:cstheme="minorHAnsi"/>
                <w:iCs/>
                <w:color w:val="646464"/>
                <w:sz w:val="20"/>
              </w:rPr>
              <w:t xml:space="preserve"> </w:t>
            </w:r>
          </w:p>
        </w:tc>
        <w:tc>
          <w:tcPr>
            <w:tcW w:w="4860" w:type="dxa"/>
            <w:tcBorders>
              <w:top w:val="single" w:sz="4" w:space="0" w:color="DDE0E3" w:themeColor="accent3" w:themeTint="33"/>
            </w:tcBorders>
          </w:tcPr>
          <w:p w14:paraId="3CEFB39C" w14:textId="77777777" w:rsidR="00396406" w:rsidRPr="00464BF8" w:rsidRDefault="00396406" w:rsidP="00396406">
            <w:pPr>
              <w:spacing w:before="40" w:after="40"/>
              <w:ind w:right="-18"/>
              <w:rPr>
                <w:rFonts w:cstheme="minorHAnsi"/>
                <w:iCs/>
                <w:color w:val="646464"/>
                <w:sz w:val="20"/>
              </w:rPr>
            </w:pPr>
            <w:r w:rsidRPr="00464BF8">
              <w:rPr>
                <w:rFonts w:cstheme="minorHAnsi"/>
                <w:iCs/>
                <w:color w:val="646464"/>
                <w:sz w:val="20"/>
              </w:rPr>
              <w:t xml:space="preserve"> </w:t>
            </w:r>
          </w:p>
        </w:tc>
      </w:tr>
      <w:tr w:rsidR="00396406" w:rsidRPr="00CA5CFA" w14:paraId="67A59877" w14:textId="77777777" w:rsidTr="00CC2FC2">
        <w:trPr>
          <w:cantSplit/>
          <w:trHeight w:val="233"/>
        </w:trPr>
        <w:tc>
          <w:tcPr>
            <w:tcW w:w="4945" w:type="dxa"/>
          </w:tcPr>
          <w:p w14:paraId="324EC6A3" w14:textId="77777777" w:rsidR="00396406" w:rsidRPr="00464BF8" w:rsidRDefault="00396406" w:rsidP="00396406">
            <w:pPr>
              <w:spacing w:before="40" w:after="40"/>
              <w:rPr>
                <w:rFonts w:cstheme="minorHAnsi"/>
                <w:iCs/>
                <w:sz w:val="20"/>
              </w:rPr>
            </w:pPr>
            <w:r w:rsidRPr="00464BF8">
              <w:rPr>
                <w:rFonts w:cstheme="minorHAnsi"/>
                <w:sz w:val="20"/>
              </w:rPr>
              <w:t>8.2.2 The state expects to make other program changes that may affect metrics related to health IT</w:t>
            </w:r>
          </w:p>
        </w:tc>
        <w:tc>
          <w:tcPr>
            <w:tcW w:w="1440" w:type="dxa"/>
          </w:tcPr>
          <w:p w14:paraId="132724A6" w14:textId="75CE8FEE" w:rsidR="00396406" w:rsidRPr="00A34958" w:rsidRDefault="002C240B" w:rsidP="00396406">
            <w:pPr>
              <w:spacing w:before="40" w:after="40"/>
              <w:ind w:right="-18"/>
              <w:rPr>
                <w:rFonts w:cstheme="minorHAnsi"/>
                <w:iCs/>
                <w:sz w:val="20"/>
              </w:rPr>
            </w:pPr>
            <w:r w:rsidRPr="00A34958">
              <w:rPr>
                <w:rFonts w:cstheme="minorHAnsi"/>
                <w:iCs/>
                <w:sz w:val="20"/>
              </w:rPr>
              <w:t>X</w:t>
            </w:r>
          </w:p>
        </w:tc>
        <w:tc>
          <w:tcPr>
            <w:tcW w:w="1710" w:type="dxa"/>
            <w:shd w:val="clear" w:color="auto" w:fill="D9D9D9"/>
          </w:tcPr>
          <w:p w14:paraId="5FB5A814" w14:textId="77777777" w:rsidR="00396406" w:rsidRPr="00464BF8" w:rsidRDefault="00396406" w:rsidP="00396406">
            <w:pPr>
              <w:spacing w:before="40" w:after="40"/>
              <w:ind w:right="-18"/>
              <w:rPr>
                <w:rFonts w:cstheme="minorHAnsi"/>
                <w:iCs/>
                <w:color w:val="646464"/>
                <w:sz w:val="20"/>
              </w:rPr>
            </w:pPr>
            <w:r w:rsidRPr="00464BF8">
              <w:rPr>
                <w:rFonts w:cstheme="minorHAnsi"/>
                <w:iCs/>
                <w:color w:val="646464"/>
                <w:sz w:val="20"/>
              </w:rPr>
              <w:t xml:space="preserve"> </w:t>
            </w:r>
          </w:p>
        </w:tc>
        <w:tc>
          <w:tcPr>
            <w:tcW w:w="4860" w:type="dxa"/>
          </w:tcPr>
          <w:p w14:paraId="56FDF4CF" w14:textId="77777777" w:rsidR="00396406" w:rsidRPr="00464BF8" w:rsidRDefault="00396406" w:rsidP="00396406">
            <w:pPr>
              <w:spacing w:before="40" w:after="40"/>
              <w:ind w:right="-18"/>
              <w:rPr>
                <w:rFonts w:cstheme="minorHAnsi"/>
                <w:iCs/>
                <w:color w:val="646464"/>
                <w:sz w:val="20"/>
              </w:rPr>
            </w:pPr>
            <w:r w:rsidRPr="00464BF8">
              <w:rPr>
                <w:rFonts w:cstheme="minorHAnsi"/>
                <w:iCs/>
                <w:color w:val="646464"/>
                <w:sz w:val="20"/>
              </w:rPr>
              <w:t xml:space="preserve"> </w:t>
            </w:r>
          </w:p>
        </w:tc>
      </w:tr>
      <w:tr w:rsidR="00396406" w:rsidRPr="00CA5CFA" w14:paraId="11A71E75" w14:textId="77777777" w:rsidTr="00CC2FC2">
        <w:trPr>
          <w:cantSplit/>
          <w:trHeight w:val="233"/>
        </w:trPr>
        <w:tc>
          <w:tcPr>
            <w:tcW w:w="12955" w:type="dxa"/>
            <w:gridSpan w:val="4"/>
            <w:shd w:val="clear" w:color="auto" w:fill="D9D9D9"/>
          </w:tcPr>
          <w:p w14:paraId="56D70351" w14:textId="77777777" w:rsidR="00396406" w:rsidRPr="00464BF8" w:rsidRDefault="00396406" w:rsidP="00396406">
            <w:pPr>
              <w:ind w:right="-18"/>
              <w:rPr>
                <w:rFonts w:cstheme="minorHAnsi"/>
                <w:iCs/>
                <w:color w:val="646464"/>
                <w:sz w:val="20"/>
              </w:rPr>
            </w:pPr>
            <w:r w:rsidRPr="00464BF8">
              <w:rPr>
                <w:rFonts w:cstheme="minorHAnsi"/>
                <w:b/>
                <w:color w:val="000000" w:themeColor="text1"/>
                <w:sz w:val="20"/>
              </w:rPr>
              <w:t>9. Other SUD-related metrics</w:t>
            </w:r>
          </w:p>
        </w:tc>
      </w:tr>
      <w:tr w:rsidR="00396406" w:rsidRPr="00CA5CFA" w14:paraId="141DEB66" w14:textId="77777777" w:rsidTr="00CC2FC2">
        <w:trPr>
          <w:cantSplit/>
          <w:trHeight w:val="233"/>
        </w:trPr>
        <w:tc>
          <w:tcPr>
            <w:tcW w:w="12955" w:type="dxa"/>
            <w:gridSpan w:val="4"/>
            <w:shd w:val="clear" w:color="auto" w:fill="F2F2F2"/>
          </w:tcPr>
          <w:p w14:paraId="534834C9" w14:textId="77777777" w:rsidR="00396406" w:rsidRPr="00464BF8" w:rsidRDefault="00396406" w:rsidP="00396406">
            <w:pPr>
              <w:ind w:right="-18"/>
              <w:rPr>
                <w:rFonts w:cstheme="minorHAnsi"/>
                <w:iCs/>
                <w:color w:val="646464"/>
                <w:sz w:val="20"/>
              </w:rPr>
            </w:pPr>
            <w:r w:rsidRPr="00464BF8">
              <w:rPr>
                <w:rFonts w:cstheme="minorHAnsi"/>
                <w:b/>
                <w:sz w:val="20"/>
              </w:rPr>
              <w:t>9.1 Metric trends</w:t>
            </w:r>
          </w:p>
        </w:tc>
      </w:tr>
      <w:tr w:rsidR="00396406" w:rsidRPr="00CA5CFA" w14:paraId="4239B087" w14:textId="77777777" w:rsidTr="00CC2FC2">
        <w:trPr>
          <w:cantSplit/>
          <w:trHeight w:val="233"/>
        </w:trPr>
        <w:tc>
          <w:tcPr>
            <w:tcW w:w="4945" w:type="dxa"/>
          </w:tcPr>
          <w:p w14:paraId="5ADC5C81" w14:textId="77777777" w:rsidR="00396406" w:rsidRPr="00464BF8" w:rsidRDefault="00396406" w:rsidP="00396406">
            <w:pPr>
              <w:spacing w:before="40" w:after="40"/>
              <w:rPr>
                <w:rFonts w:cstheme="minorHAnsi"/>
                <w:iCs/>
                <w:sz w:val="20"/>
              </w:rPr>
            </w:pPr>
            <w:r w:rsidRPr="00464BF8">
              <w:rPr>
                <w:rFonts w:cstheme="minorHAnsi"/>
                <w:sz w:val="20"/>
              </w:rPr>
              <w:t>9.1.1 The state reports the following metric trends, including all changes (+ or -) greater than 2 percent related to other SUD-related metrics</w:t>
            </w:r>
          </w:p>
        </w:tc>
        <w:tc>
          <w:tcPr>
            <w:tcW w:w="1440" w:type="dxa"/>
          </w:tcPr>
          <w:p w14:paraId="52D5A065" w14:textId="3CF305E8" w:rsidR="00396406" w:rsidRPr="00A34958" w:rsidRDefault="00396406" w:rsidP="00396406">
            <w:pPr>
              <w:spacing w:before="40" w:after="40"/>
              <w:ind w:right="-18"/>
              <w:rPr>
                <w:rFonts w:cstheme="minorHAnsi"/>
                <w:iCs/>
                <w:sz w:val="20"/>
              </w:rPr>
            </w:pPr>
            <w:r w:rsidRPr="00A34958">
              <w:rPr>
                <w:rFonts w:cstheme="minorHAnsi"/>
                <w:iCs/>
                <w:sz w:val="20"/>
              </w:rPr>
              <w:t xml:space="preserve"> </w:t>
            </w:r>
          </w:p>
        </w:tc>
        <w:tc>
          <w:tcPr>
            <w:tcW w:w="1710" w:type="dxa"/>
          </w:tcPr>
          <w:p w14:paraId="4E9AFC60" w14:textId="4D8B3FA6" w:rsidR="00EB63DC" w:rsidRPr="00A34958" w:rsidRDefault="002707A2" w:rsidP="00EB63DC">
            <w:pPr>
              <w:spacing w:line="240" w:lineRule="auto"/>
              <w:ind w:right="-18"/>
              <w:rPr>
                <w:rFonts w:cstheme="minorHAnsi"/>
                <w:sz w:val="20"/>
              </w:rPr>
            </w:pPr>
            <w:r>
              <w:rPr>
                <w:rFonts w:cstheme="minorHAnsi"/>
                <w:sz w:val="20"/>
              </w:rPr>
              <w:t>24</w:t>
            </w:r>
          </w:p>
          <w:p w14:paraId="2A686A3A" w14:textId="626A5080" w:rsidR="00EB63DC" w:rsidRPr="00A34958" w:rsidRDefault="00EB63DC" w:rsidP="00EB63DC">
            <w:pPr>
              <w:spacing w:line="240" w:lineRule="auto"/>
              <w:ind w:right="-18"/>
              <w:rPr>
                <w:rFonts w:cstheme="minorHAnsi"/>
                <w:sz w:val="20"/>
              </w:rPr>
            </w:pPr>
          </w:p>
          <w:p w14:paraId="5B359CBF" w14:textId="239F29B9" w:rsidR="00EB63DC" w:rsidRPr="00A34958" w:rsidRDefault="00EB63DC" w:rsidP="00EB63DC">
            <w:pPr>
              <w:spacing w:line="240" w:lineRule="auto"/>
              <w:ind w:right="-18"/>
              <w:rPr>
                <w:rFonts w:cstheme="minorHAnsi"/>
                <w:sz w:val="20"/>
              </w:rPr>
            </w:pPr>
          </w:p>
          <w:p w14:paraId="3B2CD249" w14:textId="2C107546" w:rsidR="00EB63DC" w:rsidRPr="00A34958" w:rsidRDefault="00EB63DC" w:rsidP="00EB63DC">
            <w:pPr>
              <w:spacing w:line="240" w:lineRule="auto"/>
              <w:ind w:right="-18"/>
              <w:rPr>
                <w:rFonts w:cstheme="minorHAnsi"/>
                <w:sz w:val="20"/>
              </w:rPr>
            </w:pPr>
          </w:p>
          <w:p w14:paraId="27BEC2C7" w14:textId="0E6FDAD2" w:rsidR="00EB63DC" w:rsidRPr="00A34958" w:rsidRDefault="00EB63DC" w:rsidP="00EB63DC">
            <w:pPr>
              <w:spacing w:line="240" w:lineRule="auto"/>
              <w:ind w:right="-18"/>
              <w:rPr>
                <w:rFonts w:cstheme="minorHAnsi"/>
                <w:sz w:val="20"/>
              </w:rPr>
            </w:pPr>
          </w:p>
          <w:p w14:paraId="471E6E7C" w14:textId="742A5C57" w:rsidR="00EB63DC" w:rsidRPr="00A34958" w:rsidRDefault="00EB63DC" w:rsidP="00EB63DC">
            <w:pPr>
              <w:spacing w:line="240" w:lineRule="auto"/>
              <w:ind w:right="-18"/>
              <w:rPr>
                <w:rFonts w:cstheme="minorHAnsi"/>
                <w:sz w:val="20"/>
              </w:rPr>
            </w:pPr>
          </w:p>
          <w:p w14:paraId="4F357EE2" w14:textId="4E1AEB52" w:rsidR="00AF3A81" w:rsidRDefault="00AF3A81" w:rsidP="00EB63DC">
            <w:pPr>
              <w:spacing w:line="240" w:lineRule="auto"/>
              <w:ind w:right="-18"/>
              <w:rPr>
                <w:rFonts w:cstheme="minorHAnsi"/>
                <w:sz w:val="20"/>
              </w:rPr>
            </w:pPr>
          </w:p>
          <w:p w14:paraId="79C29116" w14:textId="77777777" w:rsidR="00620F11" w:rsidRPr="00A34958" w:rsidRDefault="00620F11" w:rsidP="00EB63DC">
            <w:pPr>
              <w:spacing w:line="240" w:lineRule="auto"/>
              <w:ind w:right="-18"/>
              <w:rPr>
                <w:rFonts w:cstheme="minorHAnsi"/>
                <w:sz w:val="20"/>
              </w:rPr>
            </w:pPr>
          </w:p>
          <w:p w14:paraId="6877333B" w14:textId="6C5403EA" w:rsidR="00EB63DC" w:rsidRPr="00A34958" w:rsidRDefault="002C240B" w:rsidP="00EB63DC">
            <w:pPr>
              <w:spacing w:line="240" w:lineRule="auto"/>
              <w:ind w:right="-18"/>
              <w:rPr>
                <w:rFonts w:cstheme="minorHAnsi"/>
                <w:sz w:val="20"/>
              </w:rPr>
            </w:pPr>
            <w:r w:rsidRPr="00A34958">
              <w:rPr>
                <w:rFonts w:cstheme="minorHAnsi"/>
                <w:sz w:val="20"/>
              </w:rPr>
              <w:t>33-35</w:t>
            </w:r>
          </w:p>
        </w:tc>
        <w:tc>
          <w:tcPr>
            <w:tcW w:w="4860" w:type="dxa"/>
          </w:tcPr>
          <w:p w14:paraId="0C906ED4" w14:textId="798A5034" w:rsidR="002707A2" w:rsidRPr="00620F11" w:rsidRDefault="00044DD2" w:rsidP="002707A2">
            <w:pPr>
              <w:rPr>
                <w:sz w:val="20"/>
              </w:rPr>
            </w:pPr>
            <w:r w:rsidRPr="00A34958">
              <w:rPr>
                <w:sz w:val="20"/>
              </w:rPr>
              <w:t xml:space="preserve">The rate per thousand </w:t>
            </w:r>
            <w:r w:rsidR="002707A2">
              <w:rPr>
                <w:sz w:val="20"/>
              </w:rPr>
              <w:t>increased</w:t>
            </w:r>
            <w:r w:rsidRPr="00A34958">
              <w:rPr>
                <w:sz w:val="20"/>
              </w:rPr>
              <w:t xml:space="preserve"> from 1.</w:t>
            </w:r>
            <w:r>
              <w:rPr>
                <w:sz w:val="20"/>
              </w:rPr>
              <w:t>5</w:t>
            </w:r>
            <w:r w:rsidR="002707A2">
              <w:rPr>
                <w:sz w:val="20"/>
              </w:rPr>
              <w:t>0</w:t>
            </w:r>
            <w:r w:rsidRPr="00A34958">
              <w:rPr>
                <w:sz w:val="20"/>
              </w:rPr>
              <w:t xml:space="preserve"> to </w:t>
            </w:r>
            <w:r w:rsidR="002707A2">
              <w:rPr>
                <w:sz w:val="20"/>
              </w:rPr>
              <w:t>2.08</w:t>
            </w:r>
            <w:r w:rsidRPr="00A34958">
              <w:rPr>
                <w:sz w:val="20"/>
              </w:rPr>
              <w:t xml:space="preserve"> for metric 24-Inpatient Stays for SUD over this quarterly comparison period.  </w:t>
            </w:r>
            <w:r w:rsidR="002707A2" w:rsidRPr="00A34958">
              <w:rPr>
                <w:sz w:val="20"/>
              </w:rPr>
              <w:t xml:space="preserve">Factors contributing </w:t>
            </w:r>
            <w:r w:rsidR="002707A2">
              <w:rPr>
                <w:sz w:val="20"/>
              </w:rPr>
              <w:t>to th</w:t>
            </w:r>
            <w:r w:rsidRPr="00A34958">
              <w:rPr>
                <w:sz w:val="20"/>
              </w:rPr>
              <w:t xml:space="preserve">e </w:t>
            </w:r>
            <w:r w:rsidR="002707A2">
              <w:rPr>
                <w:sz w:val="20"/>
              </w:rPr>
              <w:t>0.58</w:t>
            </w:r>
            <w:r w:rsidRPr="00A34958">
              <w:rPr>
                <w:sz w:val="20"/>
              </w:rPr>
              <w:t xml:space="preserve"> rate per thousand </w:t>
            </w:r>
            <w:r w:rsidR="002707A2">
              <w:rPr>
                <w:sz w:val="20"/>
              </w:rPr>
              <w:t>in</w:t>
            </w:r>
            <w:r w:rsidRPr="00A34958">
              <w:rPr>
                <w:sz w:val="20"/>
              </w:rPr>
              <w:t xml:space="preserve">crease is </w:t>
            </w:r>
            <w:r w:rsidR="002707A2" w:rsidRPr="00620F11">
              <w:rPr>
                <w:sz w:val="20"/>
              </w:rPr>
              <w:t>the result of data pull logic modifications related to our same provider deviation and date of service used for inclusion in reporting period.</w:t>
            </w:r>
          </w:p>
          <w:p w14:paraId="4A33E61B" w14:textId="77777777" w:rsidR="00620F11" w:rsidRPr="00620F11" w:rsidRDefault="00620F11" w:rsidP="002707A2">
            <w:pPr>
              <w:rPr>
                <w:sz w:val="20"/>
              </w:rPr>
            </w:pPr>
          </w:p>
          <w:p w14:paraId="3FF557E5" w14:textId="5BBC6ED2" w:rsidR="00EB63DC" w:rsidRPr="00A34958" w:rsidRDefault="000E5F5A" w:rsidP="00620F11">
            <w:pPr>
              <w:spacing w:line="240" w:lineRule="auto"/>
              <w:ind w:right="-18"/>
              <w:rPr>
                <w:rFonts w:cstheme="minorHAnsi"/>
                <w:sz w:val="20"/>
              </w:rPr>
            </w:pPr>
            <w:r w:rsidRPr="00620F11">
              <w:rPr>
                <w:sz w:val="20"/>
              </w:rPr>
              <w:t xml:space="preserve">For </w:t>
            </w:r>
            <w:proofErr w:type="gramStart"/>
            <w:r w:rsidRPr="00620F11">
              <w:rPr>
                <w:sz w:val="20"/>
              </w:rPr>
              <w:t>metrics</w:t>
            </w:r>
            <w:proofErr w:type="gramEnd"/>
            <w:r w:rsidRPr="00620F11">
              <w:rPr>
                <w:sz w:val="20"/>
              </w:rPr>
              <w:t xml:space="preserve"> 33-35, given the very low incidents of these categories, even an increase of 1 gives a percentage change of g</w:t>
            </w:r>
            <w:r w:rsidR="00620F11">
              <w:rPr>
                <w:sz w:val="20"/>
              </w:rPr>
              <w:t xml:space="preserve">reater than 2%. Statewide there </w:t>
            </w:r>
            <w:r w:rsidRPr="00620F11">
              <w:rPr>
                <w:sz w:val="20"/>
              </w:rPr>
              <w:t xml:space="preserve">were </w:t>
            </w:r>
            <w:r w:rsidR="00620F11">
              <w:rPr>
                <w:sz w:val="20"/>
              </w:rPr>
              <w:t>2</w:t>
            </w:r>
            <w:r w:rsidRPr="00620F11">
              <w:rPr>
                <w:sz w:val="20"/>
              </w:rPr>
              <w:t xml:space="preserve"> ap</w:t>
            </w:r>
            <w:r w:rsidR="00620F11">
              <w:rPr>
                <w:sz w:val="20"/>
              </w:rPr>
              <w:t>peals last quarter compared to 8</w:t>
            </w:r>
            <w:r w:rsidRPr="00620F11">
              <w:rPr>
                <w:sz w:val="20"/>
              </w:rPr>
              <w:t xml:space="preserve"> this quarter. </w:t>
            </w:r>
            <w:proofErr w:type="gramStart"/>
            <w:r w:rsidR="00620F11">
              <w:rPr>
                <w:sz w:val="20"/>
              </w:rPr>
              <w:t>There was 0 critical incidents last quarter compared</w:t>
            </w:r>
            <w:proofErr w:type="gramEnd"/>
            <w:r w:rsidR="00620F11">
              <w:rPr>
                <w:sz w:val="20"/>
              </w:rPr>
              <w:t xml:space="preserve"> to 1 this quarter. </w:t>
            </w:r>
            <w:r w:rsidRPr="00620F11">
              <w:rPr>
                <w:sz w:val="20"/>
              </w:rPr>
              <w:t>All grievances</w:t>
            </w:r>
            <w:r w:rsidR="00620F11">
              <w:rPr>
                <w:sz w:val="20"/>
              </w:rPr>
              <w:t>,</w:t>
            </w:r>
            <w:r w:rsidRPr="00620F11">
              <w:rPr>
                <w:sz w:val="20"/>
              </w:rPr>
              <w:t xml:space="preserve"> appeals</w:t>
            </w:r>
            <w:r w:rsidR="00620F11">
              <w:rPr>
                <w:sz w:val="20"/>
              </w:rPr>
              <w:t>, and critical incidents</w:t>
            </w:r>
            <w:r w:rsidRPr="00620F11">
              <w:rPr>
                <w:sz w:val="20"/>
              </w:rPr>
              <w:t xml:space="preserve"> </w:t>
            </w:r>
            <w:proofErr w:type="gramStart"/>
            <w:r w:rsidRPr="00620F11">
              <w:rPr>
                <w:sz w:val="20"/>
              </w:rPr>
              <w:t>were addressed</w:t>
            </w:r>
            <w:proofErr w:type="gramEnd"/>
            <w:r w:rsidRPr="00620F11">
              <w:rPr>
                <w:sz w:val="20"/>
              </w:rPr>
              <w:t xml:space="preserve"> within the appropriate timelines</w:t>
            </w:r>
            <w:r>
              <w:rPr>
                <w:sz w:val="20"/>
              </w:rPr>
              <w:t>.</w:t>
            </w:r>
          </w:p>
        </w:tc>
      </w:tr>
      <w:tr w:rsidR="00396406" w:rsidRPr="00CA5CFA" w14:paraId="436C3A89" w14:textId="77777777" w:rsidTr="0030710E">
        <w:trPr>
          <w:cantSplit/>
          <w:trHeight w:val="233"/>
        </w:trPr>
        <w:tc>
          <w:tcPr>
            <w:tcW w:w="12955" w:type="dxa"/>
            <w:gridSpan w:val="4"/>
            <w:tcBorders>
              <w:bottom w:val="single" w:sz="4" w:space="0" w:color="DDE0E3" w:themeColor="accent3" w:themeTint="33"/>
            </w:tcBorders>
            <w:shd w:val="clear" w:color="auto" w:fill="F2F2F2" w:themeFill="background1" w:themeFillShade="F2"/>
          </w:tcPr>
          <w:p w14:paraId="3A35F7B2" w14:textId="77777777" w:rsidR="00396406" w:rsidRPr="00464BF8" w:rsidRDefault="00396406" w:rsidP="00396406">
            <w:pPr>
              <w:ind w:right="-18"/>
              <w:rPr>
                <w:rFonts w:cstheme="minorHAnsi"/>
                <w:iCs/>
                <w:color w:val="646464"/>
                <w:sz w:val="20"/>
              </w:rPr>
            </w:pPr>
            <w:r w:rsidRPr="00464BF8">
              <w:rPr>
                <w:rFonts w:cstheme="minorHAnsi"/>
                <w:b/>
                <w:sz w:val="20"/>
              </w:rPr>
              <w:t>9.2 Implementation update</w:t>
            </w:r>
          </w:p>
        </w:tc>
      </w:tr>
      <w:tr w:rsidR="00396406" w:rsidRPr="00CA5CFA" w14:paraId="42370722" w14:textId="77777777" w:rsidTr="0030710E">
        <w:trPr>
          <w:cantSplit/>
          <w:trHeight w:val="233"/>
        </w:trPr>
        <w:tc>
          <w:tcPr>
            <w:tcW w:w="4945" w:type="dxa"/>
            <w:tcBorders>
              <w:top w:val="single" w:sz="4" w:space="0" w:color="DDE0E3" w:themeColor="accent3" w:themeTint="33"/>
              <w:left w:val="single" w:sz="4" w:space="0" w:color="auto"/>
              <w:bottom w:val="single" w:sz="4" w:space="0" w:color="DDE0E3" w:themeColor="accent3" w:themeTint="33"/>
            </w:tcBorders>
          </w:tcPr>
          <w:p w14:paraId="2A0E6F90" w14:textId="417C60C0" w:rsidR="00396406" w:rsidRPr="00464BF8" w:rsidRDefault="00396406" w:rsidP="00396406">
            <w:pPr>
              <w:spacing w:before="40" w:after="40"/>
              <w:rPr>
                <w:rFonts w:cstheme="minorHAnsi"/>
                <w:iCs/>
                <w:sz w:val="20"/>
              </w:rPr>
            </w:pPr>
            <w:r w:rsidRPr="00464BF8">
              <w:rPr>
                <w:rFonts w:cstheme="minorHAnsi"/>
                <w:sz w:val="20"/>
              </w:rPr>
              <w:t xml:space="preserve">9.2.1 </w:t>
            </w:r>
            <w:r w:rsidRPr="00C154B3">
              <w:rPr>
                <w:sz w:val="20"/>
              </w:rPr>
              <w:t xml:space="preserve">The state expects to make </w:t>
            </w:r>
            <w:r>
              <w:rPr>
                <w:sz w:val="20"/>
              </w:rPr>
              <w:t xml:space="preserve">other </w:t>
            </w:r>
            <w:r w:rsidRPr="00C154B3">
              <w:rPr>
                <w:sz w:val="20"/>
              </w:rPr>
              <w:t xml:space="preserve">program changes that may </w:t>
            </w:r>
            <w:r w:rsidRPr="00DB4954">
              <w:rPr>
                <w:sz w:val="20"/>
              </w:rPr>
              <w:t>affect metrics related to other SUD-related metrics</w:t>
            </w:r>
            <w:r>
              <w:rPr>
                <w:rFonts w:cstheme="minorHAnsi"/>
                <w:strike/>
                <w:sz w:val="20"/>
              </w:rPr>
              <w:t>.</w:t>
            </w:r>
          </w:p>
        </w:tc>
        <w:tc>
          <w:tcPr>
            <w:tcW w:w="1440" w:type="dxa"/>
            <w:tcBorders>
              <w:top w:val="single" w:sz="4" w:space="0" w:color="DDE0E3" w:themeColor="accent3" w:themeTint="33"/>
              <w:bottom w:val="single" w:sz="4" w:space="0" w:color="DDE0E3" w:themeColor="accent3" w:themeTint="33"/>
            </w:tcBorders>
          </w:tcPr>
          <w:p w14:paraId="06DAC055" w14:textId="636231C1" w:rsidR="00396406" w:rsidRPr="00A34958" w:rsidRDefault="00620F11" w:rsidP="00396406">
            <w:pPr>
              <w:spacing w:before="40" w:after="40"/>
              <w:ind w:right="-18"/>
              <w:rPr>
                <w:rFonts w:cstheme="minorHAnsi"/>
                <w:iCs/>
                <w:sz w:val="20"/>
              </w:rPr>
            </w:pPr>
            <w:r>
              <w:rPr>
                <w:rFonts w:cstheme="minorHAnsi"/>
                <w:iCs/>
                <w:sz w:val="20"/>
              </w:rPr>
              <w:t>X</w:t>
            </w:r>
          </w:p>
        </w:tc>
        <w:tc>
          <w:tcPr>
            <w:tcW w:w="1710" w:type="dxa"/>
            <w:tcBorders>
              <w:top w:val="single" w:sz="4" w:space="0" w:color="DDE0E3" w:themeColor="accent3" w:themeTint="33"/>
              <w:bottom w:val="single" w:sz="4" w:space="0" w:color="DDE0E3" w:themeColor="accent3" w:themeTint="33"/>
            </w:tcBorders>
          </w:tcPr>
          <w:p w14:paraId="11112844" w14:textId="39D7755B" w:rsidR="00396406" w:rsidRPr="00A34958" w:rsidRDefault="00396406" w:rsidP="00396406">
            <w:pPr>
              <w:spacing w:before="40" w:after="40"/>
              <w:ind w:right="-18"/>
              <w:rPr>
                <w:rFonts w:cstheme="minorHAnsi"/>
                <w:iCs/>
                <w:sz w:val="20"/>
              </w:rPr>
            </w:pPr>
          </w:p>
        </w:tc>
        <w:tc>
          <w:tcPr>
            <w:tcW w:w="4860" w:type="dxa"/>
            <w:tcBorders>
              <w:top w:val="single" w:sz="4" w:space="0" w:color="DDE0E3" w:themeColor="accent3" w:themeTint="33"/>
              <w:bottom w:val="single" w:sz="4" w:space="0" w:color="DDE0E3" w:themeColor="accent3" w:themeTint="33"/>
              <w:right w:val="single" w:sz="4" w:space="0" w:color="auto"/>
            </w:tcBorders>
          </w:tcPr>
          <w:p w14:paraId="5A4272B2" w14:textId="7EDDE856" w:rsidR="00396406" w:rsidRPr="00A34958" w:rsidRDefault="00396406" w:rsidP="00044DD2">
            <w:pPr>
              <w:spacing w:before="40" w:after="40"/>
              <w:ind w:right="-18"/>
              <w:rPr>
                <w:rFonts w:cstheme="minorHAnsi"/>
                <w:iCs/>
                <w:sz w:val="20"/>
              </w:rPr>
            </w:pPr>
          </w:p>
        </w:tc>
      </w:tr>
    </w:tbl>
    <w:p w14:paraId="54196F7A" w14:textId="77777777" w:rsidR="00DE0B86" w:rsidRPr="00DB75AB" w:rsidRDefault="00DE0B86" w:rsidP="008D06AA">
      <w:pPr>
        <w:pStyle w:val="H3"/>
        <w:outlineLvl w:val="0"/>
      </w:pPr>
      <w:bookmarkStart w:id="15" w:name="_Hlk37770197"/>
      <w:bookmarkEnd w:id="12"/>
      <w:r>
        <w:lastRenderedPageBreak/>
        <w:t>4</w:t>
      </w:r>
      <w:r w:rsidRPr="00921140">
        <w:t>.</w:t>
      </w:r>
      <w:r w:rsidR="005E0516">
        <w:tab/>
      </w:r>
      <w:r w:rsidRPr="00921140">
        <w:t>Narrative information on other reporting topics</w:t>
      </w:r>
    </w:p>
    <w:tbl>
      <w:tblPr>
        <w:tblStyle w:val="TableGrid21"/>
        <w:tblW w:w="12955" w:type="dxa"/>
        <w:tblBorders>
          <w:bottom w:val="single" w:sz="4" w:space="0" w:color="DDE0E3" w:themeColor="accent3" w:themeTint="33"/>
          <w:insideH w:val="single" w:sz="4" w:space="0" w:color="DDE0E3" w:themeColor="accent3" w:themeTint="33"/>
          <w:insideV w:val="single" w:sz="4" w:space="0" w:color="DDE0E3" w:themeColor="accent3" w:themeTint="33"/>
        </w:tblBorders>
        <w:tblLayout w:type="fixed"/>
        <w:tblLook w:val="04A0" w:firstRow="1" w:lastRow="0" w:firstColumn="1" w:lastColumn="0" w:noHBand="0" w:noVBand="1"/>
        <w:tblCaption w:val="Narrative Information on Implementation, by Milestone and Reporting Topic"/>
      </w:tblPr>
      <w:tblGrid>
        <w:gridCol w:w="5215"/>
        <w:gridCol w:w="1710"/>
        <w:gridCol w:w="6030"/>
      </w:tblGrid>
      <w:tr w:rsidR="00DE0B86" w:rsidRPr="008543E2" w14:paraId="242E05EB" w14:textId="77777777" w:rsidTr="0047610C">
        <w:trPr>
          <w:cantSplit/>
          <w:trHeight w:val="638"/>
          <w:tblHeader/>
        </w:trPr>
        <w:tc>
          <w:tcPr>
            <w:tcW w:w="5215" w:type="dxa"/>
            <w:tcBorders>
              <w:top w:val="single" w:sz="4" w:space="0" w:color="auto"/>
              <w:bottom w:val="single" w:sz="4" w:space="0" w:color="auto"/>
              <w:right w:val="single" w:sz="4" w:space="0" w:color="auto"/>
            </w:tcBorders>
            <w:shd w:val="clear" w:color="auto" w:fill="6C6F70"/>
            <w:vAlign w:val="bottom"/>
          </w:tcPr>
          <w:bookmarkEnd w:id="15"/>
          <w:p w14:paraId="6ED68A23" w14:textId="77777777" w:rsidR="00DE0B86" w:rsidRPr="00B74684" w:rsidRDefault="00DE0B86" w:rsidP="00121F68">
            <w:pPr>
              <w:pStyle w:val="TableHeaderCenter"/>
              <w:jc w:val="left"/>
              <w:rPr>
                <w:rFonts w:asciiTheme="minorHAnsi" w:hAnsiTheme="minorHAnsi" w:cstheme="minorHAnsi"/>
                <w:i/>
              </w:rPr>
            </w:pPr>
            <w:r w:rsidRPr="00B74684">
              <w:rPr>
                <w:rFonts w:asciiTheme="minorHAnsi" w:hAnsiTheme="minorHAnsi" w:cstheme="minorHAnsi"/>
              </w:rPr>
              <w:t>Prompts</w:t>
            </w:r>
          </w:p>
        </w:tc>
        <w:tc>
          <w:tcPr>
            <w:tcW w:w="1710" w:type="dxa"/>
            <w:tcBorders>
              <w:top w:val="single" w:sz="4" w:space="0" w:color="auto"/>
              <w:left w:val="single" w:sz="4" w:space="0" w:color="auto"/>
              <w:bottom w:val="single" w:sz="4" w:space="0" w:color="auto"/>
              <w:right w:val="single" w:sz="4" w:space="0" w:color="auto"/>
            </w:tcBorders>
            <w:shd w:val="clear" w:color="auto" w:fill="6C6F70"/>
            <w:vAlign w:val="bottom"/>
          </w:tcPr>
          <w:p w14:paraId="377E535B" w14:textId="77777777" w:rsidR="00DE0B86" w:rsidRPr="00B74684" w:rsidRDefault="00DE0B86" w:rsidP="00121F68">
            <w:pPr>
              <w:pStyle w:val="TableHeaderCenter"/>
              <w:rPr>
                <w:rFonts w:asciiTheme="minorHAnsi" w:hAnsiTheme="minorHAnsi" w:cstheme="minorHAnsi"/>
              </w:rPr>
            </w:pPr>
            <w:r w:rsidRPr="00B74684">
              <w:rPr>
                <w:rFonts w:asciiTheme="minorHAnsi" w:hAnsiTheme="minorHAnsi" w:cstheme="minorHAnsi"/>
              </w:rPr>
              <w:t xml:space="preserve">State has no update to report </w:t>
            </w:r>
            <w:r w:rsidR="00121F68" w:rsidRPr="00B74684">
              <w:rPr>
                <w:rFonts w:asciiTheme="minorHAnsi" w:hAnsiTheme="minorHAnsi" w:cstheme="minorHAnsi"/>
              </w:rPr>
              <w:br/>
            </w:r>
            <w:r w:rsidRPr="00B74684">
              <w:rPr>
                <w:rFonts w:asciiTheme="minorHAnsi" w:hAnsiTheme="minorHAnsi" w:cstheme="minorHAnsi"/>
              </w:rPr>
              <w:t>(Place an X)</w:t>
            </w:r>
          </w:p>
        </w:tc>
        <w:tc>
          <w:tcPr>
            <w:tcW w:w="6030" w:type="dxa"/>
            <w:tcBorders>
              <w:top w:val="single" w:sz="4" w:space="0" w:color="auto"/>
              <w:left w:val="single" w:sz="4" w:space="0" w:color="auto"/>
              <w:bottom w:val="single" w:sz="4" w:space="0" w:color="auto"/>
            </w:tcBorders>
            <w:shd w:val="clear" w:color="auto" w:fill="6C6F70"/>
            <w:vAlign w:val="bottom"/>
          </w:tcPr>
          <w:p w14:paraId="0450A09B" w14:textId="77777777" w:rsidR="00DE0B86" w:rsidRPr="00B74684" w:rsidRDefault="00DE0B86" w:rsidP="00121F68">
            <w:pPr>
              <w:pStyle w:val="TableHeaderCenter"/>
              <w:rPr>
                <w:rFonts w:asciiTheme="minorHAnsi" w:hAnsiTheme="minorHAnsi" w:cstheme="minorHAnsi"/>
                <w:i/>
              </w:rPr>
            </w:pPr>
            <w:r w:rsidRPr="00B74684">
              <w:rPr>
                <w:rFonts w:asciiTheme="minorHAnsi" w:hAnsiTheme="minorHAnsi" w:cstheme="minorHAnsi"/>
              </w:rPr>
              <w:t>State response</w:t>
            </w:r>
          </w:p>
        </w:tc>
      </w:tr>
      <w:tr w:rsidR="00DE0B86" w:rsidRPr="008543E2" w14:paraId="3940562C" w14:textId="77777777" w:rsidTr="00757B4B">
        <w:trPr>
          <w:cantSplit/>
          <w:trHeight w:val="63"/>
        </w:trPr>
        <w:tc>
          <w:tcPr>
            <w:tcW w:w="12955" w:type="dxa"/>
            <w:gridSpan w:val="3"/>
            <w:tcBorders>
              <w:top w:val="single" w:sz="4" w:space="0" w:color="auto"/>
            </w:tcBorders>
            <w:shd w:val="clear" w:color="auto" w:fill="D9D9D9"/>
          </w:tcPr>
          <w:p w14:paraId="14A5D746" w14:textId="77777777" w:rsidR="00DE0B86" w:rsidRPr="00B74684" w:rsidRDefault="00DE0B86" w:rsidP="00DE0B86">
            <w:pPr>
              <w:ind w:right="-18"/>
              <w:rPr>
                <w:rFonts w:cstheme="minorHAnsi"/>
                <w:iCs/>
                <w:color w:val="646464"/>
                <w:sz w:val="20"/>
              </w:rPr>
            </w:pPr>
            <w:r w:rsidRPr="00B74684">
              <w:rPr>
                <w:rFonts w:cstheme="minorHAnsi"/>
                <w:b/>
                <w:color w:val="000000" w:themeColor="text1"/>
                <w:sz w:val="20"/>
              </w:rPr>
              <w:t>10. Budget neutrality</w:t>
            </w:r>
          </w:p>
        </w:tc>
      </w:tr>
      <w:tr w:rsidR="00DE0B86" w:rsidRPr="008543E2" w14:paraId="6F21190C" w14:textId="77777777" w:rsidTr="00757B4B">
        <w:trPr>
          <w:cantSplit/>
          <w:trHeight w:val="63"/>
        </w:trPr>
        <w:tc>
          <w:tcPr>
            <w:tcW w:w="12955" w:type="dxa"/>
            <w:gridSpan w:val="3"/>
            <w:shd w:val="clear" w:color="auto" w:fill="F2F2F2"/>
          </w:tcPr>
          <w:p w14:paraId="7436A33C" w14:textId="77777777" w:rsidR="00DE0B86" w:rsidRPr="00B74684" w:rsidRDefault="00DE0B86" w:rsidP="00DE0B86">
            <w:pPr>
              <w:ind w:right="-18"/>
              <w:rPr>
                <w:rFonts w:cstheme="minorHAnsi"/>
                <w:iCs/>
                <w:color w:val="646464"/>
                <w:sz w:val="20"/>
              </w:rPr>
            </w:pPr>
            <w:r w:rsidRPr="00B74684">
              <w:rPr>
                <w:rFonts w:cstheme="minorHAnsi"/>
                <w:b/>
                <w:sz w:val="20"/>
              </w:rPr>
              <w:t>10.1 Current status and analysis</w:t>
            </w:r>
          </w:p>
        </w:tc>
      </w:tr>
      <w:tr w:rsidR="00DE0B86" w:rsidRPr="008543E2" w14:paraId="2348D183" w14:textId="77777777" w:rsidTr="0047610C">
        <w:trPr>
          <w:cantSplit/>
          <w:trHeight w:val="63"/>
        </w:trPr>
        <w:tc>
          <w:tcPr>
            <w:tcW w:w="5215" w:type="dxa"/>
          </w:tcPr>
          <w:p w14:paraId="63CAE30F" w14:textId="77777777" w:rsidR="00DE0B86" w:rsidRPr="00B74684" w:rsidRDefault="00DE0B86" w:rsidP="0047610C">
            <w:pPr>
              <w:spacing w:before="40" w:after="40"/>
              <w:rPr>
                <w:rFonts w:cstheme="minorHAnsi"/>
                <w:sz w:val="20"/>
              </w:rPr>
            </w:pPr>
            <w:r w:rsidRPr="00B74684">
              <w:rPr>
                <w:rFonts w:cstheme="minorHAnsi"/>
                <w:sz w:val="20"/>
              </w:rPr>
              <w:t xml:space="preserve">10.1.1 If the SUD component is part of a broader demonstration, the state should provide an analysis of the SUD-related budget neutrality and an analysis of budget neutrality as a whole.  Describe the </w:t>
            </w:r>
            <w:proofErr w:type="gramStart"/>
            <w:r w:rsidRPr="00B74684">
              <w:rPr>
                <w:rFonts w:cstheme="minorHAnsi"/>
                <w:sz w:val="20"/>
              </w:rPr>
              <w:t>current status</w:t>
            </w:r>
            <w:proofErr w:type="gramEnd"/>
            <w:r w:rsidRPr="00B74684">
              <w:rPr>
                <w:rFonts w:cstheme="minorHAnsi"/>
                <w:sz w:val="20"/>
              </w:rPr>
              <w:t xml:space="preserve"> of budget neutrality and an analysis of the budget neutrality to date.</w:t>
            </w:r>
          </w:p>
        </w:tc>
        <w:tc>
          <w:tcPr>
            <w:tcW w:w="1710" w:type="dxa"/>
          </w:tcPr>
          <w:p w14:paraId="7975A078" w14:textId="5DAFF6BD" w:rsidR="00DE0B86" w:rsidRPr="00A34958" w:rsidRDefault="00DE0B86" w:rsidP="00E87699">
            <w:pPr>
              <w:spacing w:line="240" w:lineRule="auto"/>
              <w:ind w:right="-14"/>
              <w:rPr>
                <w:rFonts w:cstheme="minorHAnsi"/>
                <w:iCs/>
                <w:sz w:val="20"/>
              </w:rPr>
            </w:pPr>
          </w:p>
        </w:tc>
        <w:tc>
          <w:tcPr>
            <w:tcW w:w="6030" w:type="dxa"/>
          </w:tcPr>
          <w:p w14:paraId="6FCD8E9B" w14:textId="77777777" w:rsidR="00620F11" w:rsidRPr="00620F11" w:rsidRDefault="00620F11" w:rsidP="00620F11">
            <w:pPr>
              <w:spacing w:before="40" w:after="40"/>
              <w:rPr>
                <w:rFonts w:cstheme="minorHAnsi"/>
                <w:sz w:val="20"/>
              </w:rPr>
            </w:pPr>
            <w:r w:rsidRPr="00620F11">
              <w:rPr>
                <w:rFonts w:cstheme="minorHAnsi"/>
                <w:sz w:val="20"/>
              </w:rPr>
              <w:t>The Budget Neutrality Template uploaded to PMDA (LA_SUD-DY4Q3_Report_Part-C_20211129 incorporates data collected from the beginning of the 1115 SUD Demonstration period.</w:t>
            </w:r>
          </w:p>
          <w:p w14:paraId="3BE4D113" w14:textId="77777777" w:rsidR="00620F11" w:rsidRPr="00620F11" w:rsidRDefault="00620F11" w:rsidP="00620F11">
            <w:pPr>
              <w:spacing w:before="40" w:after="40"/>
              <w:rPr>
                <w:rFonts w:cstheme="minorHAnsi"/>
                <w:sz w:val="20"/>
              </w:rPr>
            </w:pPr>
          </w:p>
          <w:p w14:paraId="2358624A" w14:textId="54359267" w:rsidR="00DE0B86" w:rsidRPr="00161F14" w:rsidRDefault="00620F11" w:rsidP="00620F11">
            <w:pPr>
              <w:spacing w:before="40" w:after="40"/>
            </w:pPr>
            <w:r w:rsidRPr="00620F11">
              <w:rPr>
                <w:rFonts w:cstheme="minorHAnsi"/>
                <w:sz w:val="20"/>
              </w:rPr>
              <w:t xml:space="preserve">LDH is still awaiting CMS approval of the January 1, 2021 MCO capitation rates: therefore, we have not processed any member-level Healthy Louisiana data with dates of service in 2021.  Once catch-up processing of the monthly PMPMs begins, the IMD SUD process run by our fiscal intermediary, </w:t>
            </w:r>
            <w:proofErr w:type="spellStart"/>
            <w:proofErr w:type="gramStart"/>
            <w:r w:rsidRPr="00620F11">
              <w:rPr>
                <w:rFonts w:cstheme="minorHAnsi"/>
                <w:sz w:val="20"/>
              </w:rPr>
              <w:t>Gainwell</w:t>
            </w:r>
            <w:proofErr w:type="spellEnd"/>
            <w:r w:rsidRPr="00620F11">
              <w:rPr>
                <w:rFonts w:cstheme="minorHAnsi"/>
                <w:sz w:val="20"/>
              </w:rPr>
              <w:t>,</w:t>
            </w:r>
            <w:proofErr w:type="gramEnd"/>
            <w:r w:rsidRPr="00620F11">
              <w:rPr>
                <w:rFonts w:cstheme="minorHAnsi"/>
                <w:sz w:val="20"/>
              </w:rPr>
              <w:t xml:space="preserve"> will identify IMD and SUD members and recoup any previously paid PMPMs for these members before making the new payment.</w:t>
            </w:r>
          </w:p>
        </w:tc>
      </w:tr>
      <w:tr w:rsidR="00DE0B86" w:rsidRPr="008543E2" w14:paraId="28DF6C99" w14:textId="77777777" w:rsidTr="00757B4B">
        <w:trPr>
          <w:cantSplit/>
          <w:trHeight w:val="220"/>
        </w:trPr>
        <w:tc>
          <w:tcPr>
            <w:tcW w:w="12955" w:type="dxa"/>
            <w:gridSpan w:val="3"/>
            <w:shd w:val="clear" w:color="auto" w:fill="F2F2F2"/>
          </w:tcPr>
          <w:p w14:paraId="3B9A4896" w14:textId="77777777" w:rsidR="00DE0B86" w:rsidRPr="00B74684" w:rsidRDefault="00DE0B86" w:rsidP="00DE0B86">
            <w:pPr>
              <w:keepNext/>
              <w:rPr>
                <w:rFonts w:cstheme="minorHAnsi"/>
                <w:bCs/>
                <w:sz w:val="20"/>
              </w:rPr>
            </w:pPr>
            <w:r w:rsidRPr="00B74684">
              <w:rPr>
                <w:rFonts w:cstheme="minorHAnsi"/>
                <w:b/>
                <w:sz w:val="20"/>
              </w:rPr>
              <w:t>10.2 Implementation update</w:t>
            </w:r>
          </w:p>
        </w:tc>
      </w:tr>
      <w:tr w:rsidR="00E60D72" w:rsidRPr="008543E2" w14:paraId="26FE579B" w14:textId="77777777" w:rsidTr="0047610C">
        <w:trPr>
          <w:cantSplit/>
          <w:trHeight w:val="233"/>
        </w:trPr>
        <w:tc>
          <w:tcPr>
            <w:tcW w:w="5215" w:type="dxa"/>
          </w:tcPr>
          <w:p w14:paraId="1E55F5B6" w14:textId="77777777" w:rsidR="00E60D72" w:rsidRPr="00B74684" w:rsidRDefault="00E60D72" w:rsidP="0047610C">
            <w:pPr>
              <w:spacing w:before="40" w:after="40"/>
              <w:rPr>
                <w:rFonts w:cstheme="minorHAnsi"/>
                <w:sz w:val="20"/>
              </w:rPr>
            </w:pPr>
            <w:r w:rsidRPr="00B74684">
              <w:rPr>
                <w:rFonts w:cstheme="minorHAnsi"/>
                <w:sz w:val="20"/>
              </w:rPr>
              <w:t>10.2.1 The state expects to make other program changes that may affect budget neutrality</w:t>
            </w:r>
          </w:p>
        </w:tc>
        <w:tc>
          <w:tcPr>
            <w:tcW w:w="1710" w:type="dxa"/>
          </w:tcPr>
          <w:p w14:paraId="62C00F92" w14:textId="7D935E00" w:rsidR="00E60D72" w:rsidRPr="00A34958" w:rsidRDefault="00E87699" w:rsidP="0047610C">
            <w:pPr>
              <w:spacing w:before="40" w:after="40"/>
              <w:rPr>
                <w:rFonts w:cstheme="minorHAnsi"/>
                <w:i/>
                <w:sz w:val="20"/>
              </w:rPr>
            </w:pPr>
            <w:r w:rsidRPr="00A34958">
              <w:t>X</w:t>
            </w:r>
          </w:p>
        </w:tc>
        <w:tc>
          <w:tcPr>
            <w:tcW w:w="6030" w:type="dxa"/>
          </w:tcPr>
          <w:p w14:paraId="7D2246AD" w14:textId="25326D3B" w:rsidR="00E60D72" w:rsidRPr="00A34958" w:rsidRDefault="00E60D72" w:rsidP="0047610C">
            <w:pPr>
              <w:spacing w:before="40" w:after="40"/>
              <w:rPr>
                <w:rFonts w:cstheme="minorHAnsi"/>
                <w:i/>
                <w:sz w:val="20"/>
              </w:rPr>
            </w:pPr>
          </w:p>
        </w:tc>
      </w:tr>
      <w:tr w:rsidR="00DE0B86" w:rsidRPr="008543E2" w14:paraId="1BD17BFC" w14:textId="77777777" w:rsidTr="00757B4B">
        <w:trPr>
          <w:cantSplit/>
          <w:trHeight w:val="220"/>
        </w:trPr>
        <w:tc>
          <w:tcPr>
            <w:tcW w:w="12955" w:type="dxa"/>
            <w:gridSpan w:val="3"/>
            <w:shd w:val="clear" w:color="auto" w:fill="D9D9D9"/>
          </w:tcPr>
          <w:p w14:paraId="0673996C" w14:textId="77777777" w:rsidR="00DE0B86" w:rsidRPr="00B74684" w:rsidRDefault="00DE0B86" w:rsidP="00DE0B86">
            <w:pPr>
              <w:keepNext/>
              <w:rPr>
                <w:rFonts w:cstheme="minorHAnsi"/>
                <w:b/>
                <w:color w:val="000000" w:themeColor="text1"/>
                <w:sz w:val="20"/>
              </w:rPr>
            </w:pPr>
            <w:r w:rsidRPr="00B74684">
              <w:rPr>
                <w:rFonts w:cstheme="minorHAnsi"/>
                <w:b/>
                <w:color w:val="000000" w:themeColor="text1"/>
                <w:sz w:val="20"/>
              </w:rPr>
              <w:t>11. SUD-related demonstration operations and policy</w:t>
            </w:r>
          </w:p>
        </w:tc>
      </w:tr>
      <w:tr w:rsidR="00DE0B86" w:rsidRPr="008543E2" w14:paraId="3F247C8A" w14:textId="77777777" w:rsidTr="00757B4B">
        <w:trPr>
          <w:cantSplit/>
          <w:trHeight w:val="220"/>
        </w:trPr>
        <w:tc>
          <w:tcPr>
            <w:tcW w:w="12955" w:type="dxa"/>
            <w:gridSpan w:val="3"/>
            <w:shd w:val="clear" w:color="auto" w:fill="F2F2F2"/>
          </w:tcPr>
          <w:p w14:paraId="4E8E2B6B" w14:textId="77777777" w:rsidR="00DE0B86" w:rsidRPr="00B74684" w:rsidRDefault="00DE0B86" w:rsidP="00DE0B86">
            <w:pPr>
              <w:keepNext/>
              <w:rPr>
                <w:rFonts w:cstheme="minorHAnsi"/>
                <w:bCs/>
                <w:sz w:val="20"/>
              </w:rPr>
            </w:pPr>
            <w:r w:rsidRPr="00B74684">
              <w:rPr>
                <w:rFonts w:cstheme="minorHAnsi"/>
                <w:b/>
                <w:sz w:val="20"/>
              </w:rPr>
              <w:t>11.1 Considerations</w:t>
            </w:r>
          </w:p>
        </w:tc>
      </w:tr>
      <w:tr w:rsidR="00E60D72" w:rsidRPr="008543E2" w14:paraId="35B861E6" w14:textId="77777777" w:rsidTr="0047610C">
        <w:trPr>
          <w:cantSplit/>
          <w:trHeight w:val="233"/>
        </w:trPr>
        <w:tc>
          <w:tcPr>
            <w:tcW w:w="5215" w:type="dxa"/>
          </w:tcPr>
          <w:p w14:paraId="75CA9DB6" w14:textId="77777777" w:rsidR="00E60D72" w:rsidRPr="00B74684" w:rsidRDefault="00E60D72" w:rsidP="0047610C">
            <w:pPr>
              <w:spacing w:before="40" w:after="40"/>
              <w:rPr>
                <w:rFonts w:cstheme="minorHAnsi"/>
                <w:sz w:val="20"/>
              </w:rPr>
            </w:pPr>
            <w:r w:rsidRPr="00B74684">
              <w:rPr>
                <w:rFonts w:cstheme="minorHAnsi"/>
                <w:sz w:val="20"/>
              </w:rPr>
              <w:t xml:space="preserve">11.1.1 </w:t>
            </w:r>
            <w:r>
              <w:rPr>
                <w:rFonts w:cstheme="minorHAnsi"/>
                <w:sz w:val="20"/>
              </w:rPr>
              <w:t>The s</w:t>
            </w:r>
            <w:r w:rsidRPr="00B74684">
              <w:rPr>
                <w:rFonts w:cstheme="minorHAnsi"/>
                <w:sz w:val="20"/>
              </w:rPr>
              <w:t xml:space="preserve">tate should highlight significant SUD (or if broader demonstration, then SUD-related) demonstration operations or policy considerations that could positively or negatively affect beneficiary enrollment, access to services, timely provision of services, budget neutrality, or any other provision that has potential for beneficiary impacts. </w:t>
            </w:r>
            <w:proofErr w:type="gramStart"/>
            <w:r w:rsidRPr="00B74684">
              <w:rPr>
                <w:rFonts w:cstheme="minorHAnsi"/>
                <w:sz w:val="20"/>
              </w:rPr>
              <w:t>Also</w:t>
            </w:r>
            <w:proofErr w:type="gramEnd"/>
            <w:r w:rsidRPr="00B74684">
              <w:rPr>
                <w:rFonts w:cstheme="minorHAnsi"/>
                <w:sz w:val="20"/>
              </w:rPr>
              <w:t xml:space="preserve"> note any activity that may accelerate or create delays or impediments in achieving the SUD demonstration’s approved goals or objectives, if not already reported elsewhere in this document.  See report template instructions for more detail.</w:t>
            </w:r>
          </w:p>
        </w:tc>
        <w:tc>
          <w:tcPr>
            <w:tcW w:w="1710" w:type="dxa"/>
          </w:tcPr>
          <w:p w14:paraId="79113850" w14:textId="77777777" w:rsidR="00E60D72" w:rsidRPr="00A34958" w:rsidRDefault="00E60D72" w:rsidP="0047610C">
            <w:pPr>
              <w:spacing w:before="40" w:after="40"/>
              <w:rPr>
                <w:rFonts w:cstheme="minorHAnsi"/>
                <w:i/>
                <w:sz w:val="20"/>
              </w:rPr>
            </w:pPr>
            <w:r w:rsidRPr="00A34958">
              <w:rPr>
                <w:rFonts w:cstheme="minorHAnsi"/>
                <w:iCs/>
                <w:sz w:val="20"/>
              </w:rPr>
              <w:t xml:space="preserve"> </w:t>
            </w:r>
          </w:p>
        </w:tc>
        <w:tc>
          <w:tcPr>
            <w:tcW w:w="6030" w:type="dxa"/>
          </w:tcPr>
          <w:p w14:paraId="24AA562A" w14:textId="3F82591F" w:rsidR="00E60D72" w:rsidRPr="00A34958" w:rsidRDefault="00C80D6E" w:rsidP="00C80D6E">
            <w:pPr>
              <w:spacing w:before="40" w:after="40"/>
              <w:rPr>
                <w:rFonts w:cstheme="minorHAnsi"/>
                <w:sz w:val="20"/>
              </w:rPr>
            </w:pPr>
            <w:r w:rsidRPr="00C80D6E">
              <w:rPr>
                <w:rFonts w:cstheme="minorHAnsi"/>
                <w:sz w:val="20"/>
              </w:rPr>
              <w:t>OBH continues to collaborate with the MCOs on the SUD performance improvement project, with the goal of improving transitions of care to SUD levels of car</w:t>
            </w:r>
            <w:r w:rsidR="00E87699" w:rsidRPr="00A34958">
              <w:rPr>
                <w:rFonts w:cstheme="minorHAnsi"/>
                <w:sz w:val="20"/>
              </w:rPr>
              <w:t>e.</w:t>
            </w:r>
          </w:p>
        </w:tc>
      </w:tr>
      <w:tr w:rsidR="00DE0B86" w:rsidRPr="008543E2" w14:paraId="2D043241" w14:textId="77777777" w:rsidTr="00757B4B">
        <w:trPr>
          <w:cantSplit/>
          <w:trHeight w:val="220"/>
        </w:trPr>
        <w:tc>
          <w:tcPr>
            <w:tcW w:w="12955" w:type="dxa"/>
            <w:gridSpan w:val="3"/>
            <w:shd w:val="clear" w:color="auto" w:fill="F2F2F2"/>
          </w:tcPr>
          <w:p w14:paraId="7D9089D2" w14:textId="77777777" w:rsidR="00DE0B86" w:rsidRPr="00B74684" w:rsidRDefault="00DE0B86" w:rsidP="00DE0B86">
            <w:pPr>
              <w:keepNext/>
              <w:rPr>
                <w:rFonts w:cstheme="minorHAnsi"/>
                <w:bCs/>
                <w:sz w:val="20"/>
              </w:rPr>
            </w:pPr>
            <w:r w:rsidRPr="00B74684">
              <w:rPr>
                <w:rFonts w:cstheme="minorHAnsi"/>
                <w:b/>
                <w:sz w:val="20"/>
              </w:rPr>
              <w:lastRenderedPageBreak/>
              <w:t>11.2 Implementation update</w:t>
            </w:r>
          </w:p>
        </w:tc>
      </w:tr>
      <w:tr w:rsidR="00E60D72" w:rsidRPr="008543E2" w14:paraId="0BCB0E0F" w14:textId="77777777" w:rsidTr="0047610C">
        <w:trPr>
          <w:cantSplit/>
          <w:trHeight w:val="233"/>
        </w:trPr>
        <w:tc>
          <w:tcPr>
            <w:tcW w:w="5215" w:type="dxa"/>
          </w:tcPr>
          <w:p w14:paraId="1508AFEC" w14:textId="77777777" w:rsidR="00E60D72" w:rsidRPr="00B74684" w:rsidRDefault="00E60D72" w:rsidP="0047610C">
            <w:pPr>
              <w:spacing w:before="40" w:after="40"/>
              <w:rPr>
                <w:rFonts w:cstheme="minorHAnsi"/>
                <w:sz w:val="20"/>
              </w:rPr>
            </w:pPr>
            <w:r w:rsidRPr="00B74684">
              <w:rPr>
                <w:rFonts w:cstheme="minorHAnsi"/>
                <w:sz w:val="20"/>
              </w:rPr>
              <w:t xml:space="preserve">11.2.1 Compared to the demonstration design and operational details, the state expects to make the following changes to: </w:t>
            </w:r>
          </w:p>
          <w:p w14:paraId="0951AF14" w14:textId="77777777" w:rsidR="00E60D72" w:rsidRPr="00E60D72" w:rsidRDefault="00E60D72" w:rsidP="0047610C">
            <w:pPr>
              <w:pStyle w:val="ListParagraph"/>
              <w:numPr>
                <w:ilvl w:val="0"/>
                <w:numId w:val="45"/>
              </w:numPr>
              <w:spacing w:before="40" w:after="40" w:line="240" w:lineRule="auto"/>
              <w:ind w:left="876" w:hanging="180"/>
              <w:contextualSpacing/>
              <w:rPr>
                <w:rFonts w:cstheme="minorHAnsi"/>
                <w:sz w:val="20"/>
              </w:rPr>
            </w:pPr>
            <w:r w:rsidRPr="00B74684">
              <w:rPr>
                <w:rFonts w:cstheme="minorHAnsi"/>
                <w:sz w:val="20"/>
              </w:rPr>
              <w:t>How the delivery system operates under the demonstration (e.g. through the managed care system or fee for service)</w:t>
            </w:r>
          </w:p>
        </w:tc>
        <w:tc>
          <w:tcPr>
            <w:tcW w:w="1710" w:type="dxa"/>
          </w:tcPr>
          <w:p w14:paraId="1DB64A8A" w14:textId="332EA7CD" w:rsidR="00E60D72" w:rsidRPr="00A34958" w:rsidRDefault="00E87699" w:rsidP="0047610C">
            <w:pPr>
              <w:spacing w:before="40" w:after="40"/>
              <w:rPr>
                <w:rFonts w:cstheme="minorHAnsi"/>
                <w:sz w:val="20"/>
              </w:rPr>
            </w:pPr>
            <w:r w:rsidRPr="00A34958">
              <w:rPr>
                <w:rFonts w:cstheme="minorHAnsi"/>
                <w:sz w:val="20"/>
              </w:rPr>
              <w:t>X</w:t>
            </w:r>
          </w:p>
        </w:tc>
        <w:tc>
          <w:tcPr>
            <w:tcW w:w="6030" w:type="dxa"/>
          </w:tcPr>
          <w:p w14:paraId="7556536A" w14:textId="676B2B7E" w:rsidR="00E60D72" w:rsidRPr="00A34958" w:rsidRDefault="00E60D72" w:rsidP="0047610C">
            <w:pPr>
              <w:spacing w:before="40" w:after="40"/>
              <w:rPr>
                <w:rFonts w:cstheme="minorHAnsi"/>
                <w:i/>
                <w:sz w:val="20"/>
              </w:rPr>
            </w:pPr>
          </w:p>
        </w:tc>
      </w:tr>
      <w:tr w:rsidR="00E60D72" w:rsidRPr="008543E2" w14:paraId="177C91E4" w14:textId="77777777" w:rsidTr="0047610C">
        <w:trPr>
          <w:cantSplit/>
          <w:trHeight w:val="233"/>
        </w:trPr>
        <w:tc>
          <w:tcPr>
            <w:tcW w:w="5215" w:type="dxa"/>
          </w:tcPr>
          <w:p w14:paraId="07E7155E" w14:textId="77777777" w:rsidR="00E60D72" w:rsidRPr="00B74684" w:rsidRDefault="00E60D72" w:rsidP="0047610C">
            <w:pPr>
              <w:pStyle w:val="ListParagraph"/>
              <w:numPr>
                <w:ilvl w:val="0"/>
                <w:numId w:val="45"/>
              </w:numPr>
              <w:spacing w:before="40" w:after="40" w:line="240" w:lineRule="auto"/>
              <w:ind w:left="876" w:hanging="180"/>
              <w:contextualSpacing/>
              <w:rPr>
                <w:rFonts w:cstheme="minorHAnsi"/>
                <w:sz w:val="20"/>
              </w:rPr>
            </w:pPr>
            <w:r w:rsidRPr="00B74684">
              <w:rPr>
                <w:rFonts w:cstheme="minorHAnsi"/>
                <w:sz w:val="20"/>
              </w:rPr>
              <w:t>Delivery models affecting demonstration participants (e.g. Accountable Care Organizations, Patient Centered Medical Homes)</w:t>
            </w:r>
          </w:p>
        </w:tc>
        <w:tc>
          <w:tcPr>
            <w:tcW w:w="1710" w:type="dxa"/>
          </w:tcPr>
          <w:p w14:paraId="472B684D" w14:textId="064BEE14" w:rsidR="00E60D72" w:rsidRPr="00A34958" w:rsidRDefault="00E87699" w:rsidP="0047610C">
            <w:pPr>
              <w:spacing w:before="40" w:after="40"/>
              <w:rPr>
                <w:rFonts w:cstheme="minorHAnsi"/>
                <w:sz w:val="20"/>
              </w:rPr>
            </w:pPr>
            <w:r w:rsidRPr="00A34958">
              <w:rPr>
                <w:rFonts w:cstheme="minorHAnsi"/>
                <w:sz w:val="20"/>
              </w:rPr>
              <w:t>X</w:t>
            </w:r>
          </w:p>
        </w:tc>
        <w:tc>
          <w:tcPr>
            <w:tcW w:w="6030" w:type="dxa"/>
          </w:tcPr>
          <w:p w14:paraId="674D31CE" w14:textId="16E2F613" w:rsidR="00E60D72" w:rsidRPr="00A34958" w:rsidRDefault="00E60D72" w:rsidP="0047610C">
            <w:pPr>
              <w:spacing w:before="40" w:after="40"/>
              <w:rPr>
                <w:rFonts w:cstheme="minorHAnsi"/>
                <w:i/>
                <w:sz w:val="20"/>
              </w:rPr>
            </w:pPr>
          </w:p>
        </w:tc>
      </w:tr>
      <w:tr w:rsidR="00E60D72" w:rsidRPr="008543E2" w14:paraId="634F2D15" w14:textId="77777777" w:rsidTr="0047610C">
        <w:trPr>
          <w:cantSplit/>
          <w:trHeight w:val="91"/>
        </w:trPr>
        <w:tc>
          <w:tcPr>
            <w:tcW w:w="5215" w:type="dxa"/>
          </w:tcPr>
          <w:p w14:paraId="20F59A71" w14:textId="77777777" w:rsidR="00E60D72" w:rsidRPr="00B74684" w:rsidRDefault="00E60D72" w:rsidP="0047610C">
            <w:pPr>
              <w:pStyle w:val="ListParagraph"/>
              <w:numPr>
                <w:ilvl w:val="0"/>
                <w:numId w:val="45"/>
              </w:numPr>
              <w:spacing w:before="40" w:after="40" w:line="240" w:lineRule="auto"/>
              <w:ind w:left="876" w:hanging="180"/>
              <w:contextualSpacing/>
              <w:rPr>
                <w:rFonts w:cstheme="minorHAnsi"/>
                <w:sz w:val="20"/>
              </w:rPr>
            </w:pPr>
            <w:r w:rsidRPr="00B74684">
              <w:rPr>
                <w:rFonts w:cstheme="minorHAnsi"/>
                <w:sz w:val="20"/>
              </w:rPr>
              <w:t>Partners involved in service delivery</w:t>
            </w:r>
          </w:p>
        </w:tc>
        <w:tc>
          <w:tcPr>
            <w:tcW w:w="1710" w:type="dxa"/>
          </w:tcPr>
          <w:p w14:paraId="0932A6E3" w14:textId="5ED22C5B" w:rsidR="00E60D72" w:rsidRPr="00A34958" w:rsidRDefault="00E87699" w:rsidP="0047610C">
            <w:pPr>
              <w:spacing w:before="40" w:after="40"/>
              <w:ind w:right="-18"/>
              <w:rPr>
                <w:rFonts w:cstheme="minorHAnsi"/>
                <w:iCs/>
                <w:sz w:val="20"/>
              </w:rPr>
            </w:pPr>
            <w:r w:rsidRPr="00A34958">
              <w:rPr>
                <w:rFonts w:cstheme="minorHAnsi"/>
                <w:iCs/>
                <w:sz w:val="20"/>
              </w:rPr>
              <w:t>X</w:t>
            </w:r>
          </w:p>
        </w:tc>
        <w:tc>
          <w:tcPr>
            <w:tcW w:w="6030" w:type="dxa"/>
          </w:tcPr>
          <w:p w14:paraId="77391107" w14:textId="51E42B31" w:rsidR="00E60D72" w:rsidRPr="00A34958" w:rsidRDefault="00E60D72" w:rsidP="00EC12C6">
            <w:pPr>
              <w:spacing w:before="40" w:after="40"/>
              <w:rPr>
                <w:rFonts w:cstheme="minorHAnsi"/>
                <w:i/>
                <w:sz w:val="20"/>
              </w:rPr>
            </w:pPr>
          </w:p>
        </w:tc>
      </w:tr>
      <w:tr w:rsidR="00E60D72" w:rsidRPr="008543E2" w14:paraId="3A0E7F6B" w14:textId="77777777" w:rsidTr="0047610C">
        <w:trPr>
          <w:cantSplit/>
          <w:trHeight w:val="233"/>
        </w:trPr>
        <w:tc>
          <w:tcPr>
            <w:tcW w:w="5215" w:type="dxa"/>
          </w:tcPr>
          <w:p w14:paraId="6F815C10" w14:textId="77777777" w:rsidR="00E60D72" w:rsidRPr="00B74684" w:rsidRDefault="00E60D72" w:rsidP="0047610C">
            <w:pPr>
              <w:spacing w:before="40" w:after="40"/>
              <w:rPr>
                <w:rFonts w:cstheme="minorHAnsi"/>
                <w:sz w:val="20"/>
              </w:rPr>
            </w:pPr>
            <w:r w:rsidRPr="00B74684">
              <w:rPr>
                <w:rFonts w:cstheme="minorHAnsi"/>
                <w:sz w:val="20"/>
              </w:rPr>
              <w:t>11.2.2 The state experienced challenges in partnering with entities contracted to help implement the demonstration (e.g., health plans, credentialing vendors, private sector providers) and/or noted any performance issues with contracted entities</w:t>
            </w:r>
          </w:p>
        </w:tc>
        <w:tc>
          <w:tcPr>
            <w:tcW w:w="1710" w:type="dxa"/>
          </w:tcPr>
          <w:p w14:paraId="50B5BF0F" w14:textId="3876CA08" w:rsidR="00E60D72" w:rsidRPr="00A34958" w:rsidRDefault="00E87699" w:rsidP="0047610C">
            <w:pPr>
              <w:spacing w:before="40" w:after="40"/>
              <w:rPr>
                <w:rFonts w:cstheme="minorHAnsi"/>
                <w:sz w:val="20"/>
              </w:rPr>
            </w:pPr>
            <w:r w:rsidRPr="00A34958">
              <w:rPr>
                <w:rFonts w:cstheme="minorHAnsi"/>
                <w:sz w:val="20"/>
              </w:rPr>
              <w:t>X</w:t>
            </w:r>
          </w:p>
        </w:tc>
        <w:tc>
          <w:tcPr>
            <w:tcW w:w="6030" w:type="dxa"/>
          </w:tcPr>
          <w:p w14:paraId="676F75FE" w14:textId="3959DB0E" w:rsidR="00E60D72" w:rsidRPr="00A34958" w:rsidRDefault="00E60D72" w:rsidP="0047610C">
            <w:pPr>
              <w:spacing w:before="40" w:after="40"/>
              <w:rPr>
                <w:rFonts w:cstheme="minorHAnsi"/>
                <w:i/>
                <w:sz w:val="20"/>
              </w:rPr>
            </w:pPr>
          </w:p>
        </w:tc>
      </w:tr>
      <w:tr w:rsidR="00E60D72" w:rsidRPr="008543E2" w14:paraId="01966960" w14:textId="77777777" w:rsidTr="0047610C">
        <w:trPr>
          <w:cantSplit/>
          <w:trHeight w:val="233"/>
        </w:trPr>
        <w:tc>
          <w:tcPr>
            <w:tcW w:w="5215" w:type="dxa"/>
          </w:tcPr>
          <w:p w14:paraId="593B0629" w14:textId="77777777" w:rsidR="00E60D72" w:rsidRPr="00B74684" w:rsidRDefault="00E60D72" w:rsidP="0047610C">
            <w:pPr>
              <w:spacing w:before="40" w:after="40"/>
              <w:rPr>
                <w:rFonts w:cstheme="minorHAnsi"/>
                <w:sz w:val="20"/>
              </w:rPr>
            </w:pPr>
            <w:r w:rsidRPr="00B74684">
              <w:rPr>
                <w:rFonts w:cstheme="minorHAnsi"/>
                <w:sz w:val="20"/>
              </w:rPr>
              <w:lastRenderedPageBreak/>
              <w:t>11.2.3 The state is working on other initiatives related to SUD or OUD</w:t>
            </w:r>
          </w:p>
        </w:tc>
        <w:tc>
          <w:tcPr>
            <w:tcW w:w="1710" w:type="dxa"/>
          </w:tcPr>
          <w:p w14:paraId="48682803" w14:textId="74AEB1C7" w:rsidR="00E60D72" w:rsidRPr="00A34958" w:rsidRDefault="00E60D72" w:rsidP="0047610C">
            <w:pPr>
              <w:spacing w:before="40" w:after="40"/>
              <w:rPr>
                <w:rFonts w:cstheme="minorHAnsi"/>
                <w:sz w:val="20"/>
              </w:rPr>
            </w:pPr>
          </w:p>
        </w:tc>
        <w:tc>
          <w:tcPr>
            <w:tcW w:w="6030" w:type="dxa"/>
          </w:tcPr>
          <w:p w14:paraId="25D7C8D9" w14:textId="6C9798E2" w:rsidR="00E87699" w:rsidRPr="00A34958" w:rsidRDefault="00724C83" w:rsidP="00E87699">
            <w:pPr>
              <w:spacing w:before="40" w:after="40"/>
              <w:rPr>
                <w:rFonts w:cstheme="minorHAnsi"/>
                <w:sz w:val="20"/>
              </w:rPr>
            </w:pPr>
            <w:r>
              <w:rPr>
                <w:rFonts w:cstheme="minorHAnsi"/>
                <w:sz w:val="20"/>
              </w:rPr>
              <w:t xml:space="preserve">During DY4 Q3, </w:t>
            </w:r>
            <w:r w:rsidR="00E87699" w:rsidRPr="00A34958">
              <w:rPr>
                <w:rFonts w:cstheme="minorHAnsi"/>
                <w:sz w:val="20"/>
              </w:rPr>
              <w:t>Louisiana is continuing to participate in the Shatterproof Quality Measurement System pilot program. The Shatterproof pilot complements the SUD demonstration to improve accessib</w:t>
            </w:r>
            <w:r w:rsidR="00044DD2">
              <w:rPr>
                <w:rFonts w:cstheme="minorHAnsi"/>
                <w:sz w:val="20"/>
              </w:rPr>
              <w:t xml:space="preserve">ility and quality of care. </w:t>
            </w:r>
            <w:r w:rsidR="00E87699" w:rsidRPr="00A34958">
              <w:rPr>
                <w:rFonts w:cstheme="minorHAnsi"/>
                <w:sz w:val="20"/>
              </w:rPr>
              <w:t xml:space="preserve">Included on the ATLAS website is a lay-friendly drug and </w:t>
            </w:r>
            <w:proofErr w:type="gramStart"/>
            <w:r w:rsidR="00E87699" w:rsidRPr="00A34958">
              <w:rPr>
                <w:rFonts w:cstheme="minorHAnsi"/>
                <w:sz w:val="20"/>
              </w:rPr>
              <w:t>alcohol use assessment tool</w:t>
            </w:r>
            <w:proofErr w:type="gramEnd"/>
            <w:r w:rsidR="00E87699" w:rsidRPr="00A34958">
              <w:rPr>
                <w:rFonts w:cstheme="minorHAnsi"/>
                <w:sz w:val="20"/>
              </w:rPr>
              <w:t xml:space="preserve"> to offer possible indicated types/levels of care based upon criteria entered.</w:t>
            </w:r>
            <w:r w:rsidR="00BA78D7">
              <w:rPr>
                <w:rFonts w:cstheme="minorHAnsi"/>
                <w:sz w:val="20"/>
              </w:rPr>
              <w:t xml:space="preserve"> During this period </w:t>
            </w:r>
            <w:proofErr w:type="gramStart"/>
            <w:r w:rsidR="00BA78D7">
              <w:rPr>
                <w:rFonts w:cstheme="minorHAnsi"/>
                <w:sz w:val="20"/>
              </w:rPr>
              <w:t>resource</w:t>
            </w:r>
            <w:proofErr w:type="gramEnd"/>
            <w:r w:rsidR="00BA78D7">
              <w:rPr>
                <w:rFonts w:cstheme="minorHAnsi"/>
                <w:sz w:val="20"/>
              </w:rPr>
              <w:t xml:space="preserve"> push cards were developed and distributed to stakeholders, providers, families and the community to increase awareness and access to care statewide.</w:t>
            </w:r>
          </w:p>
          <w:p w14:paraId="6240F5A9" w14:textId="77777777" w:rsidR="00E87699" w:rsidRPr="00A34958" w:rsidRDefault="00E87699" w:rsidP="00E87699">
            <w:pPr>
              <w:spacing w:before="40" w:after="40"/>
              <w:rPr>
                <w:rFonts w:cstheme="minorHAnsi"/>
                <w:sz w:val="20"/>
              </w:rPr>
            </w:pPr>
          </w:p>
          <w:p w14:paraId="711D4383" w14:textId="6902AD83" w:rsidR="00E87699" w:rsidRPr="00A34958" w:rsidRDefault="00724C83" w:rsidP="00E87699">
            <w:pPr>
              <w:rPr>
                <w:rFonts w:cstheme="minorHAnsi"/>
                <w:sz w:val="20"/>
              </w:rPr>
            </w:pPr>
            <w:r>
              <w:rPr>
                <w:rFonts w:cstheme="minorHAnsi"/>
                <w:sz w:val="20"/>
              </w:rPr>
              <w:t xml:space="preserve">In addition, </w:t>
            </w:r>
            <w:r w:rsidR="00E87699" w:rsidRPr="00A34958">
              <w:rPr>
                <w:rFonts w:cstheme="minorHAnsi"/>
                <w:sz w:val="20"/>
              </w:rPr>
              <w:t xml:space="preserve">OBH continues to work on expanding access to </w:t>
            </w:r>
            <w:r w:rsidR="00044DD2">
              <w:rPr>
                <w:rFonts w:cstheme="minorHAnsi"/>
                <w:sz w:val="20"/>
              </w:rPr>
              <w:t>MOUD</w:t>
            </w:r>
            <w:r w:rsidR="00E87699" w:rsidRPr="00A34958">
              <w:rPr>
                <w:rFonts w:cstheme="minorHAnsi"/>
                <w:sz w:val="20"/>
              </w:rPr>
              <w:t xml:space="preserve"> via multiple grant awards, targeting expansion of evidence-based prevention, treatment and recovery for persons with opioid use disorder (OUD). The state has implemented the Hub and Spoke model, which has expanded outpatient treatment capacity to serve persons with severe and/or moderate to mild OUD. The state contracted with ten Hubs, which </w:t>
            </w:r>
            <w:proofErr w:type="gramStart"/>
            <w:r w:rsidR="00E87699" w:rsidRPr="00A34958">
              <w:rPr>
                <w:rFonts w:cstheme="minorHAnsi"/>
                <w:sz w:val="20"/>
              </w:rPr>
              <w:t>are identified</w:t>
            </w:r>
            <w:proofErr w:type="gramEnd"/>
            <w:r w:rsidR="00E87699" w:rsidRPr="00A34958">
              <w:rPr>
                <w:rFonts w:cstheme="minorHAnsi"/>
                <w:sz w:val="20"/>
              </w:rPr>
              <w:t xml:space="preserve"> as Opioid Treatment Programs (OTPs), across the state. These Hubs provide treatment to persons with severe OUD by use of methadone maintenance. OBH is also conducting outreach to Spokes, which </w:t>
            </w:r>
            <w:proofErr w:type="gramStart"/>
            <w:r w:rsidR="00E87699" w:rsidRPr="00A34958">
              <w:rPr>
                <w:rFonts w:cstheme="minorHAnsi"/>
                <w:sz w:val="20"/>
              </w:rPr>
              <w:t>are identified</w:t>
            </w:r>
            <w:proofErr w:type="gramEnd"/>
            <w:r w:rsidR="00E87699" w:rsidRPr="00A34958">
              <w:rPr>
                <w:rFonts w:cstheme="minorHAnsi"/>
                <w:sz w:val="20"/>
              </w:rPr>
              <w:t xml:space="preserve"> as Office Based Treatment Programs (OBOTs) that will address the needs of person with mo</w:t>
            </w:r>
            <w:r w:rsidR="00044DD2">
              <w:rPr>
                <w:rFonts w:cstheme="minorHAnsi"/>
                <w:sz w:val="20"/>
              </w:rPr>
              <w:t>derate to mild OUD. As of DY4 Q</w:t>
            </w:r>
            <w:r>
              <w:rPr>
                <w:rFonts w:cstheme="minorHAnsi"/>
                <w:sz w:val="20"/>
              </w:rPr>
              <w:t>2</w:t>
            </w:r>
            <w:r w:rsidR="00E87699" w:rsidRPr="00A34958">
              <w:rPr>
                <w:rFonts w:cstheme="minorHAnsi"/>
                <w:sz w:val="20"/>
              </w:rPr>
              <w:t>, there are 4</w:t>
            </w:r>
            <w:r>
              <w:rPr>
                <w:rFonts w:cstheme="minorHAnsi"/>
                <w:sz w:val="20"/>
              </w:rPr>
              <w:t>9</w:t>
            </w:r>
            <w:r w:rsidR="00E87699" w:rsidRPr="00A34958">
              <w:rPr>
                <w:rFonts w:cstheme="minorHAnsi"/>
                <w:sz w:val="20"/>
              </w:rPr>
              <w:t xml:space="preserve"> active OBOTs</w:t>
            </w:r>
            <w:r>
              <w:rPr>
                <w:rFonts w:cstheme="minorHAnsi"/>
                <w:sz w:val="20"/>
              </w:rPr>
              <w:t xml:space="preserve">.  As of September 29, 2021, </w:t>
            </w:r>
            <w:proofErr w:type="spellStart"/>
            <w:r>
              <w:rPr>
                <w:rFonts w:cstheme="minorHAnsi"/>
                <w:sz w:val="20"/>
              </w:rPr>
              <w:t>LaSOR</w:t>
            </w:r>
            <w:proofErr w:type="spellEnd"/>
            <w:r>
              <w:rPr>
                <w:rFonts w:cstheme="minorHAnsi"/>
                <w:sz w:val="20"/>
              </w:rPr>
              <w:t xml:space="preserve"> 1.0 ended. OBH is now in progress with </w:t>
            </w:r>
            <w:proofErr w:type="spellStart"/>
            <w:r>
              <w:rPr>
                <w:rFonts w:cstheme="minorHAnsi"/>
                <w:sz w:val="20"/>
              </w:rPr>
              <w:t>LaSOR</w:t>
            </w:r>
            <w:proofErr w:type="spellEnd"/>
            <w:r>
              <w:rPr>
                <w:rFonts w:cstheme="minorHAnsi"/>
                <w:sz w:val="20"/>
              </w:rPr>
              <w:t xml:space="preserve"> 2.0.</w:t>
            </w:r>
            <w:r w:rsidR="00E87699" w:rsidRPr="00A34958">
              <w:rPr>
                <w:rFonts w:cstheme="minorHAnsi"/>
                <w:sz w:val="20"/>
              </w:rPr>
              <w:t xml:space="preserve"> </w:t>
            </w:r>
          </w:p>
          <w:p w14:paraId="0AB3E0BE" w14:textId="77777777" w:rsidR="00E87699" w:rsidRPr="00A34958" w:rsidRDefault="00E87699" w:rsidP="00E87699">
            <w:pPr>
              <w:rPr>
                <w:rFonts w:cstheme="minorHAnsi"/>
                <w:sz w:val="20"/>
              </w:rPr>
            </w:pPr>
          </w:p>
          <w:p w14:paraId="5ED3E21D" w14:textId="431E62F1" w:rsidR="007F5B09" w:rsidRPr="00A34958" w:rsidRDefault="00E87699" w:rsidP="00E87699">
            <w:pPr>
              <w:rPr>
                <w:rFonts w:cstheme="minorHAnsi"/>
                <w:i/>
                <w:sz w:val="20"/>
              </w:rPr>
            </w:pPr>
            <w:r w:rsidRPr="00A34958">
              <w:rPr>
                <w:rFonts w:cstheme="minorHAnsi"/>
                <w:sz w:val="20"/>
              </w:rPr>
              <w:t>In DY4</w:t>
            </w:r>
            <w:r w:rsidR="00044DD2">
              <w:rPr>
                <w:rFonts w:cstheme="minorHAnsi"/>
                <w:sz w:val="20"/>
              </w:rPr>
              <w:t xml:space="preserve"> Q</w:t>
            </w:r>
            <w:r w:rsidR="00724C83">
              <w:rPr>
                <w:rFonts w:cstheme="minorHAnsi"/>
                <w:sz w:val="20"/>
              </w:rPr>
              <w:t>3</w:t>
            </w:r>
            <w:r w:rsidRPr="00A34958">
              <w:rPr>
                <w:rFonts w:cstheme="minorHAnsi"/>
                <w:sz w:val="20"/>
              </w:rPr>
              <w:t xml:space="preserve">, Louisiana continues implementation of the Louisiana State Opioid Response Grant 2.0, to expand access to treatment for persons suffering or </w:t>
            </w:r>
            <w:proofErr w:type="gramStart"/>
            <w:r w:rsidRPr="00A34958">
              <w:rPr>
                <w:rFonts w:cstheme="minorHAnsi"/>
                <w:sz w:val="20"/>
              </w:rPr>
              <w:t>impacted</w:t>
            </w:r>
            <w:proofErr w:type="gramEnd"/>
            <w:r w:rsidRPr="00A34958">
              <w:rPr>
                <w:rFonts w:cstheme="minorHAnsi"/>
                <w:sz w:val="20"/>
              </w:rPr>
              <w:t xml:space="preserve"> by the Opioid Epidemic and those with Stimulant Use Disorder. During implementation</w:t>
            </w:r>
            <w:r w:rsidR="005C2B6E">
              <w:rPr>
                <w:rFonts w:cstheme="minorHAnsi"/>
                <w:sz w:val="20"/>
              </w:rPr>
              <w:t>,</w:t>
            </w:r>
            <w:r w:rsidRPr="00A34958">
              <w:rPr>
                <w:rFonts w:cstheme="minorHAnsi"/>
                <w:sz w:val="20"/>
              </w:rPr>
              <w:t xml:space="preserve"> OBH worked to target new partnerships in an effort to forge relationships that will support targeted efforts to continue combating the opioid epidemic.</w:t>
            </w:r>
            <w:r w:rsidR="00724C83">
              <w:rPr>
                <w:rFonts w:cstheme="minorHAnsi"/>
                <w:sz w:val="20"/>
              </w:rPr>
              <w:t xml:space="preserve"> OBH will sustain initiatives that </w:t>
            </w:r>
            <w:proofErr w:type="gramStart"/>
            <w:r w:rsidR="00724C83">
              <w:rPr>
                <w:rFonts w:cstheme="minorHAnsi"/>
                <w:sz w:val="20"/>
              </w:rPr>
              <w:t>were developed</w:t>
            </w:r>
            <w:proofErr w:type="gramEnd"/>
            <w:r w:rsidR="00724C83">
              <w:rPr>
                <w:rFonts w:cstheme="minorHAnsi"/>
                <w:sz w:val="20"/>
              </w:rPr>
              <w:t xml:space="preserve"> in </w:t>
            </w:r>
            <w:proofErr w:type="spellStart"/>
            <w:r w:rsidR="00724C83">
              <w:rPr>
                <w:rFonts w:cstheme="minorHAnsi"/>
                <w:sz w:val="20"/>
              </w:rPr>
              <w:t>LaSOR</w:t>
            </w:r>
            <w:proofErr w:type="spellEnd"/>
            <w:r w:rsidR="00724C83">
              <w:rPr>
                <w:rFonts w:cstheme="minorHAnsi"/>
                <w:sz w:val="20"/>
              </w:rPr>
              <w:t xml:space="preserve"> 1.0 but also added some new components to expand access to SUD/OUD prevention, treatment and recovery services.  To name a few, OBH will partner with Higher Education, FQHC’s, jails and harm reduction programs, including targeting pregnant women. </w:t>
            </w:r>
          </w:p>
        </w:tc>
      </w:tr>
      <w:tr w:rsidR="00E87699" w:rsidRPr="008543E2" w14:paraId="27A20205" w14:textId="77777777" w:rsidTr="0047610C">
        <w:trPr>
          <w:cantSplit/>
          <w:trHeight w:val="233"/>
        </w:trPr>
        <w:tc>
          <w:tcPr>
            <w:tcW w:w="5215" w:type="dxa"/>
          </w:tcPr>
          <w:p w14:paraId="02553E80" w14:textId="77777777" w:rsidR="00E87699" w:rsidRPr="00B74684" w:rsidRDefault="00E87699" w:rsidP="00E87699">
            <w:pPr>
              <w:spacing w:before="40" w:after="40"/>
              <w:rPr>
                <w:rFonts w:cstheme="minorHAnsi"/>
                <w:sz w:val="20"/>
              </w:rPr>
            </w:pPr>
            <w:r w:rsidRPr="00B74684">
              <w:rPr>
                <w:rFonts w:eastAsia="MS Gothic" w:cstheme="minorHAnsi"/>
                <w:sz w:val="20"/>
              </w:rPr>
              <w:lastRenderedPageBreak/>
              <w:t xml:space="preserve">11.2.4 The initiatives described above are related to the SUD or OUD demonstration </w:t>
            </w:r>
            <w:r w:rsidRPr="00B74684">
              <w:rPr>
                <w:rFonts w:cstheme="minorHAnsi"/>
                <w:sz w:val="20"/>
              </w:rPr>
              <w:t>(</w:t>
            </w:r>
            <w:r>
              <w:rPr>
                <w:rFonts w:cstheme="minorHAnsi"/>
                <w:sz w:val="20"/>
              </w:rPr>
              <w:t>The s</w:t>
            </w:r>
            <w:r w:rsidRPr="00B74684">
              <w:rPr>
                <w:rFonts w:cstheme="minorHAnsi"/>
                <w:sz w:val="20"/>
              </w:rPr>
              <w:t>tate should note similarities and differences from the SUD demonstration)</w:t>
            </w:r>
          </w:p>
        </w:tc>
        <w:tc>
          <w:tcPr>
            <w:tcW w:w="1710" w:type="dxa"/>
          </w:tcPr>
          <w:p w14:paraId="1B4B77F0" w14:textId="0F9D265C" w:rsidR="00E87699" w:rsidRPr="00A34958" w:rsidRDefault="00E87699" w:rsidP="00E87699">
            <w:pPr>
              <w:spacing w:before="40" w:after="40"/>
              <w:rPr>
                <w:rFonts w:cstheme="minorHAnsi"/>
                <w:i/>
                <w:sz w:val="20"/>
              </w:rPr>
            </w:pPr>
          </w:p>
        </w:tc>
        <w:tc>
          <w:tcPr>
            <w:tcW w:w="6030" w:type="dxa"/>
          </w:tcPr>
          <w:p w14:paraId="39450372" w14:textId="10D62917" w:rsidR="00E87699" w:rsidRPr="00A34958" w:rsidRDefault="00E87699" w:rsidP="00E87699">
            <w:pPr>
              <w:spacing w:before="40" w:after="40"/>
              <w:rPr>
                <w:rFonts w:cstheme="minorHAnsi"/>
                <w:i/>
                <w:sz w:val="20"/>
              </w:rPr>
            </w:pPr>
            <w:r w:rsidRPr="00A34958">
              <w:rPr>
                <w:sz w:val="20"/>
              </w:rPr>
              <w:t>The Shatterproof initiative works with all addiction treatment facilities, not only those providing Medicaid services.</w:t>
            </w:r>
          </w:p>
        </w:tc>
      </w:tr>
      <w:tr w:rsidR="00E87699" w:rsidRPr="008543E2" w14:paraId="2B9F8406" w14:textId="77777777" w:rsidTr="00757B4B">
        <w:trPr>
          <w:cantSplit/>
          <w:trHeight w:val="220"/>
        </w:trPr>
        <w:tc>
          <w:tcPr>
            <w:tcW w:w="12955" w:type="dxa"/>
            <w:gridSpan w:val="3"/>
            <w:shd w:val="clear" w:color="auto" w:fill="D9D9D9"/>
          </w:tcPr>
          <w:p w14:paraId="0D3454A2" w14:textId="77777777" w:rsidR="00E87699" w:rsidRPr="00B74684" w:rsidRDefault="00E87699" w:rsidP="00E87699">
            <w:pPr>
              <w:keepNext/>
              <w:rPr>
                <w:rFonts w:cstheme="minorHAnsi"/>
                <w:b/>
                <w:color w:val="000000" w:themeColor="text1"/>
                <w:sz w:val="20"/>
              </w:rPr>
            </w:pPr>
            <w:r w:rsidRPr="00B74684">
              <w:rPr>
                <w:rFonts w:cstheme="minorHAnsi"/>
                <w:b/>
                <w:color w:val="000000" w:themeColor="text1"/>
                <w:sz w:val="20"/>
              </w:rPr>
              <w:t>12. SUD demonstration evaluation update</w:t>
            </w:r>
          </w:p>
        </w:tc>
      </w:tr>
      <w:tr w:rsidR="00E87699" w:rsidRPr="008543E2" w14:paraId="77E63084" w14:textId="77777777" w:rsidTr="00757B4B">
        <w:trPr>
          <w:cantSplit/>
          <w:trHeight w:val="220"/>
        </w:trPr>
        <w:tc>
          <w:tcPr>
            <w:tcW w:w="12955" w:type="dxa"/>
            <w:gridSpan w:val="3"/>
            <w:shd w:val="clear" w:color="auto" w:fill="F2F2F2"/>
          </w:tcPr>
          <w:p w14:paraId="2198A45C" w14:textId="77777777" w:rsidR="00E87699" w:rsidRPr="00B74684" w:rsidRDefault="00E87699" w:rsidP="00E87699">
            <w:pPr>
              <w:keepNext/>
              <w:rPr>
                <w:rFonts w:cstheme="minorHAnsi"/>
                <w:bCs/>
                <w:sz w:val="20"/>
              </w:rPr>
            </w:pPr>
            <w:r w:rsidRPr="00B74684">
              <w:rPr>
                <w:rFonts w:cstheme="minorHAnsi"/>
                <w:b/>
                <w:sz w:val="20"/>
              </w:rPr>
              <w:t>12.1 Narrative information</w:t>
            </w:r>
          </w:p>
        </w:tc>
      </w:tr>
      <w:tr w:rsidR="00E87699" w:rsidRPr="008543E2" w14:paraId="20D7AA31" w14:textId="77777777" w:rsidTr="0047610C">
        <w:trPr>
          <w:cantSplit/>
          <w:trHeight w:val="233"/>
        </w:trPr>
        <w:tc>
          <w:tcPr>
            <w:tcW w:w="5215" w:type="dxa"/>
          </w:tcPr>
          <w:p w14:paraId="54E022A6" w14:textId="77777777" w:rsidR="00E87699" w:rsidRPr="00B74684" w:rsidRDefault="00E87699" w:rsidP="00E87699">
            <w:pPr>
              <w:spacing w:before="40" w:after="40"/>
              <w:rPr>
                <w:rFonts w:cstheme="minorHAnsi"/>
                <w:sz w:val="20"/>
              </w:rPr>
            </w:pPr>
            <w:r w:rsidRPr="00B74684">
              <w:rPr>
                <w:rFonts w:cstheme="minorHAnsi"/>
                <w:sz w:val="20"/>
              </w:rPr>
              <w:t xml:space="preserve">12.1.1 Provide updates on SUD evaluation work and timeline.  The appropriate content will depend on when this report is due to CMS and the timing for the demonstration.  There are specific requirements per </w:t>
            </w:r>
            <w:r>
              <w:rPr>
                <w:rFonts w:cstheme="minorHAnsi"/>
                <w:sz w:val="20"/>
              </w:rPr>
              <w:t>Code of Federal Regulations (</w:t>
            </w:r>
            <w:r w:rsidRPr="00B74684">
              <w:rPr>
                <w:rFonts w:cstheme="minorHAnsi"/>
                <w:sz w:val="20"/>
              </w:rPr>
              <w:t>CFR</w:t>
            </w:r>
            <w:r>
              <w:rPr>
                <w:rFonts w:cstheme="minorHAnsi"/>
                <w:sz w:val="20"/>
              </w:rPr>
              <w:t>)</w:t>
            </w:r>
            <w:r w:rsidRPr="00B74684">
              <w:rPr>
                <w:rFonts w:cstheme="minorHAnsi"/>
                <w:sz w:val="20"/>
              </w:rPr>
              <w:t xml:space="preserve"> for annual reports.  See report template instructions for more details.</w:t>
            </w:r>
          </w:p>
        </w:tc>
        <w:tc>
          <w:tcPr>
            <w:tcW w:w="1710" w:type="dxa"/>
          </w:tcPr>
          <w:p w14:paraId="359E2D52" w14:textId="77777777" w:rsidR="00E87699" w:rsidRPr="00A34958" w:rsidRDefault="00E87699" w:rsidP="00E87699">
            <w:pPr>
              <w:spacing w:before="40" w:after="40"/>
              <w:rPr>
                <w:rFonts w:cstheme="minorHAnsi"/>
                <w:i/>
                <w:sz w:val="20"/>
              </w:rPr>
            </w:pPr>
            <w:r w:rsidRPr="00A34958">
              <w:rPr>
                <w:rFonts w:cstheme="minorHAnsi"/>
                <w:iCs/>
                <w:sz w:val="20"/>
              </w:rPr>
              <w:t xml:space="preserve"> </w:t>
            </w:r>
          </w:p>
        </w:tc>
        <w:tc>
          <w:tcPr>
            <w:tcW w:w="6030" w:type="dxa"/>
          </w:tcPr>
          <w:p w14:paraId="103D75AA" w14:textId="68482B91" w:rsidR="00E87699" w:rsidRPr="00A34958" w:rsidRDefault="00A85779" w:rsidP="00970B3E">
            <w:pPr>
              <w:spacing w:before="40" w:after="40"/>
              <w:rPr>
                <w:rFonts w:cstheme="minorHAnsi"/>
                <w:sz w:val="20"/>
              </w:rPr>
            </w:pPr>
            <w:r>
              <w:rPr>
                <w:rFonts w:cstheme="minorHAnsi"/>
                <w:sz w:val="20"/>
              </w:rPr>
              <w:t>A summary of DY4 Q</w:t>
            </w:r>
            <w:r w:rsidR="007D08BD">
              <w:rPr>
                <w:rFonts w:cstheme="minorHAnsi"/>
                <w:sz w:val="20"/>
              </w:rPr>
              <w:t>3</w:t>
            </w:r>
            <w:r w:rsidR="00E87699" w:rsidRPr="00A34958">
              <w:rPr>
                <w:rFonts w:cstheme="minorHAnsi"/>
                <w:sz w:val="20"/>
              </w:rPr>
              <w:t xml:space="preserve"> evaluation activities is included in </w:t>
            </w:r>
            <w:r>
              <w:rPr>
                <w:rFonts w:cstheme="minorHAnsi"/>
                <w:sz w:val="20"/>
              </w:rPr>
              <w:t>the attachment, Tulane_SUD-DY4Q</w:t>
            </w:r>
            <w:r w:rsidR="00970B3E">
              <w:rPr>
                <w:rFonts w:cstheme="minorHAnsi"/>
                <w:sz w:val="20"/>
              </w:rPr>
              <w:t>3</w:t>
            </w:r>
            <w:r w:rsidR="00E87699" w:rsidRPr="00A34958">
              <w:rPr>
                <w:rFonts w:cstheme="minorHAnsi"/>
                <w:sz w:val="20"/>
              </w:rPr>
              <w:t>_Report_</w:t>
            </w:r>
            <w:r w:rsidR="00970B3E" w:rsidRPr="00A85779">
              <w:rPr>
                <w:rFonts w:cstheme="minorHAnsi"/>
                <w:sz w:val="20"/>
              </w:rPr>
              <w:t>2021</w:t>
            </w:r>
            <w:r w:rsidR="00970B3E">
              <w:rPr>
                <w:rFonts w:cstheme="minorHAnsi"/>
                <w:sz w:val="20"/>
              </w:rPr>
              <w:t>1109</w:t>
            </w:r>
            <w:r w:rsidR="00E87699" w:rsidRPr="00A34958">
              <w:rPr>
                <w:rFonts w:cstheme="minorHAnsi"/>
                <w:sz w:val="20"/>
              </w:rPr>
              <w:t>.</w:t>
            </w:r>
          </w:p>
        </w:tc>
      </w:tr>
      <w:tr w:rsidR="00E87699" w:rsidRPr="008543E2" w14:paraId="571643C1" w14:textId="77777777" w:rsidTr="0047610C">
        <w:trPr>
          <w:cantSplit/>
          <w:trHeight w:val="233"/>
        </w:trPr>
        <w:tc>
          <w:tcPr>
            <w:tcW w:w="5215" w:type="dxa"/>
          </w:tcPr>
          <w:p w14:paraId="0CA8CC75" w14:textId="77777777" w:rsidR="00E87699" w:rsidRPr="00B74684" w:rsidRDefault="00E87699" w:rsidP="00E87699">
            <w:pPr>
              <w:spacing w:before="40" w:after="40"/>
              <w:rPr>
                <w:rFonts w:cstheme="minorHAnsi"/>
                <w:sz w:val="20"/>
              </w:rPr>
            </w:pPr>
            <w:r w:rsidRPr="00B74684">
              <w:rPr>
                <w:rFonts w:cstheme="minorHAnsi"/>
                <w:sz w:val="20"/>
              </w:rPr>
              <w:t>12.1.2 Provide status updates on deliverables related to the demonstration evaluation and indicate whether the expected timelines are being met and/or if there are any real or anticipated barriers in achieving the goals and timeframes agreed to in the STCs</w:t>
            </w:r>
          </w:p>
        </w:tc>
        <w:tc>
          <w:tcPr>
            <w:tcW w:w="1710" w:type="dxa"/>
          </w:tcPr>
          <w:p w14:paraId="42B84FE3" w14:textId="77777777" w:rsidR="00E87699" w:rsidRPr="00A34958" w:rsidRDefault="00E87699" w:rsidP="00E87699">
            <w:pPr>
              <w:spacing w:before="40" w:after="40"/>
              <w:rPr>
                <w:rFonts w:cstheme="minorHAnsi"/>
                <w:i/>
                <w:sz w:val="20"/>
              </w:rPr>
            </w:pPr>
            <w:r w:rsidRPr="00A34958">
              <w:rPr>
                <w:rFonts w:cstheme="minorHAnsi"/>
                <w:iCs/>
                <w:sz w:val="20"/>
              </w:rPr>
              <w:t xml:space="preserve"> </w:t>
            </w:r>
          </w:p>
        </w:tc>
        <w:tc>
          <w:tcPr>
            <w:tcW w:w="6030" w:type="dxa"/>
          </w:tcPr>
          <w:p w14:paraId="33DD97D3" w14:textId="4CB6E054" w:rsidR="00E87699" w:rsidRPr="00A34958" w:rsidRDefault="00E87699" w:rsidP="00620F11">
            <w:pPr>
              <w:spacing w:before="40" w:after="40"/>
              <w:rPr>
                <w:rFonts w:cstheme="minorHAnsi"/>
                <w:i/>
                <w:sz w:val="20"/>
              </w:rPr>
            </w:pPr>
            <w:r w:rsidRPr="00A34958">
              <w:rPr>
                <w:sz w:val="20"/>
              </w:rPr>
              <w:t xml:space="preserve">LDH meets regularly with the independent evaluator of Tulane University to identify, clarify and fulfill information requests on deliverables. </w:t>
            </w:r>
          </w:p>
        </w:tc>
      </w:tr>
      <w:tr w:rsidR="00E87699" w:rsidRPr="008543E2" w14:paraId="43F57F3A" w14:textId="77777777" w:rsidTr="0047610C">
        <w:trPr>
          <w:cantSplit/>
          <w:trHeight w:val="233"/>
        </w:trPr>
        <w:tc>
          <w:tcPr>
            <w:tcW w:w="5215" w:type="dxa"/>
          </w:tcPr>
          <w:p w14:paraId="0C32359B" w14:textId="77777777" w:rsidR="00E87699" w:rsidRPr="00B74684" w:rsidRDefault="00E87699" w:rsidP="00E87699">
            <w:pPr>
              <w:spacing w:before="40" w:after="40"/>
              <w:rPr>
                <w:rFonts w:cstheme="minorHAnsi"/>
                <w:sz w:val="20"/>
              </w:rPr>
            </w:pPr>
            <w:r w:rsidRPr="00B74684">
              <w:rPr>
                <w:rFonts w:cstheme="minorHAnsi"/>
                <w:sz w:val="20"/>
              </w:rPr>
              <w:t>12.1.3 List anticipated evaluation-related deliverables related to this demonstration and their due dates</w:t>
            </w:r>
          </w:p>
        </w:tc>
        <w:tc>
          <w:tcPr>
            <w:tcW w:w="1710" w:type="dxa"/>
          </w:tcPr>
          <w:p w14:paraId="7D3F43C3" w14:textId="77777777" w:rsidR="00E87699" w:rsidRPr="00A34958" w:rsidRDefault="00E87699" w:rsidP="00E87699">
            <w:pPr>
              <w:spacing w:before="40" w:after="40"/>
              <w:rPr>
                <w:rFonts w:cstheme="minorHAnsi"/>
                <w:i/>
                <w:sz w:val="20"/>
              </w:rPr>
            </w:pPr>
            <w:r w:rsidRPr="00A34958">
              <w:rPr>
                <w:rFonts w:cstheme="minorHAnsi"/>
                <w:iCs/>
                <w:sz w:val="20"/>
              </w:rPr>
              <w:t xml:space="preserve"> </w:t>
            </w:r>
          </w:p>
        </w:tc>
        <w:tc>
          <w:tcPr>
            <w:tcW w:w="6030" w:type="dxa"/>
          </w:tcPr>
          <w:p w14:paraId="404137F5" w14:textId="77777777" w:rsidR="00E87699" w:rsidRPr="00A34958" w:rsidRDefault="00E87699" w:rsidP="00E87699">
            <w:pPr>
              <w:rPr>
                <w:sz w:val="20"/>
              </w:rPr>
            </w:pPr>
            <w:r w:rsidRPr="00A34958">
              <w:rPr>
                <w:sz w:val="20"/>
              </w:rPr>
              <w:t>Draft Interim Evaluation Report, Dec 31, 2021</w:t>
            </w:r>
          </w:p>
          <w:p w14:paraId="210C760A" w14:textId="77777777" w:rsidR="00E87699" w:rsidRPr="00A34958" w:rsidRDefault="00E87699" w:rsidP="00E87699">
            <w:pPr>
              <w:rPr>
                <w:sz w:val="20"/>
              </w:rPr>
            </w:pPr>
            <w:r w:rsidRPr="00A34958">
              <w:rPr>
                <w:sz w:val="20"/>
              </w:rPr>
              <w:t>Final Interim Evaluation Report, 60 days after receipt of CMS comments</w:t>
            </w:r>
          </w:p>
          <w:p w14:paraId="761934C5" w14:textId="77777777" w:rsidR="00E87699" w:rsidRPr="00A34958" w:rsidRDefault="00E87699" w:rsidP="00E87699">
            <w:pPr>
              <w:spacing w:before="40" w:after="40"/>
              <w:rPr>
                <w:sz w:val="20"/>
              </w:rPr>
            </w:pPr>
            <w:r w:rsidRPr="00A34958">
              <w:rPr>
                <w:sz w:val="20"/>
              </w:rPr>
              <w:t>Draft Summative Evaluation Report, June 30, 2024</w:t>
            </w:r>
          </w:p>
          <w:p w14:paraId="7F17827A" w14:textId="4E76E983" w:rsidR="00E87699" w:rsidRPr="00A34958" w:rsidRDefault="00E87699" w:rsidP="00E87699">
            <w:pPr>
              <w:rPr>
                <w:rFonts w:cstheme="minorHAnsi"/>
                <w:i/>
                <w:sz w:val="20"/>
              </w:rPr>
            </w:pPr>
            <w:r w:rsidRPr="00A34958">
              <w:rPr>
                <w:sz w:val="20"/>
              </w:rPr>
              <w:t>Final Summative Evaluation Report, 60 days after receipt of CMS comments</w:t>
            </w:r>
          </w:p>
        </w:tc>
      </w:tr>
      <w:tr w:rsidR="00E87699" w:rsidRPr="008543E2" w14:paraId="7ED7A2C3" w14:textId="77777777" w:rsidTr="00757B4B">
        <w:trPr>
          <w:cantSplit/>
          <w:trHeight w:val="220"/>
        </w:trPr>
        <w:tc>
          <w:tcPr>
            <w:tcW w:w="12955" w:type="dxa"/>
            <w:gridSpan w:val="3"/>
            <w:shd w:val="clear" w:color="auto" w:fill="D9D9D9"/>
          </w:tcPr>
          <w:p w14:paraId="3C1EA61E" w14:textId="77777777" w:rsidR="00E87699" w:rsidRPr="00B74684" w:rsidRDefault="00E87699" w:rsidP="00E87699">
            <w:pPr>
              <w:keepNext/>
              <w:rPr>
                <w:rFonts w:cstheme="minorHAnsi"/>
                <w:b/>
                <w:color w:val="000000" w:themeColor="text1"/>
                <w:sz w:val="20"/>
              </w:rPr>
            </w:pPr>
            <w:r w:rsidRPr="00B74684">
              <w:rPr>
                <w:rFonts w:cstheme="minorHAnsi"/>
                <w:b/>
                <w:color w:val="000000" w:themeColor="text1"/>
                <w:sz w:val="20"/>
              </w:rPr>
              <w:t>13. Other demonstration reporting</w:t>
            </w:r>
          </w:p>
        </w:tc>
      </w:tr>
      <w:tr w:rsidR="00E87699" w:rsidRPr="008543E2" w14:paraId="66AF1423" w14:textId="77777777" w:rsidTr="00757B4B">
        <w:trPr>
          <w:cantSplit/>
          <w:trHeight w:val="220"/>
        </w:trPr>
        <w:tc>
          <w:tcPr>
            <w:tcW w:w="12955" w:type="dxa"/>
            <w:gridSpan w:val="3"/>
            <w:shd w:val="clear" w:color="auto" w:fill="F2F2F2"/>
          </w:tcPr>
          <w:p w14:paraId="318C1930" w14:textId="77777777" w:rsidR="00E87699" w:rsidRPr="00B74684" w:rsidRDefault="00E87699" w:rsidP="00E87699">
            <w:pPr>
              <w:keepNext/>
              <w:rPr>
                <w:rFonts w:cstheme="minorHAnsi"/>
                <w:bCs/>
                <w:sz w:val="20"/>
              </w:rPr>
            </w:pPr>
            <w:r w:rsidRPr="00B74684">
              <w:rPr>
                <w:rFonts w:cstheme="minorHAnsi"/>
                <w:b/>
                <w:sz w:val="20"/>
              </w:rPr>
              <w:t>13.1 General reporting requirements</w:t>
            </w:r>
          </w:p>
        </w:tc>
      </w:tr>
      <w:tr w:rsidR="00E87699" w:rsidRPr="008543E2" w14:paraId="0DE1F00A" w14:textId="77777777" w:rsidTr="0047610C">
        <w:trPr>
          <w:cantSplit/>
          <w:trHeight w:val="233"/>
        </w:trPr>
        <w:tc>
          <w:tcPr>
            <w:tcW w:w="5215" w:type="dxa"/>
          </w:tcPr>
          <w:p w14:paraId="65A46A6A" w14:textId="77777777" w:rsidR="00E87699" w:rsidRPr="00B74684" w:rsidRDefault="00E87699" w:rsidP="00E87699">
            <w:pPr>
              <w:spacing w:before="40" w:after="40"/>
              <w:rPr>
                <w:rFonts w:cstheme="minorHAnsi"/>
                <w:sz w:val="20"/>
              </w:rPr>
            </w:pPr>
            <w:r w:rsidRPr="00B74684">
              <w:rPr>
                <w:rFonts w:eastAsia="MS Gothic" w:cstheme="minorHAnsi"/>
                <w:sz w:val="20"/>
              </w:rPr>
              <w:t>13.1.1 The</w:t>
            </w:r>
            <w:r w:rsidRPr="00B74684">
              <w:rPr>
                <w:rFonts w:cstheme="minorHAnsi"/>
                <w:sz w:val="20"/>
              </w:rPr>
              <w:t xml:space="preserve"> state reports changes in its implementation of the demonstration that might necessitate a change to approved STCs, implementation plan, or monitoring protocol</w:t>
            </w:r>
          </w:p>
        </w:tc>
        <w:tc>
          <w:tcPr>
            <w:tcW w:w="1710" w:type="dxa"/>
          </w:tcPr>
          <w:p w14:paraId="6F934D54" w14:textId="122FBFB1" w:rsidR="00E87699" w:rsidRPr="00A34958" w:rsidRDefault="00E87699" w:rsidP="00E87699">
            <w:pPr>
              <w:spacing w:before="40" w:after="40"/>
              <w:rPr>
                <w:rFonts w:cstheme="minorHAnsi"/>
                <w:i/>
                <w:sz w:val="20"/>
              </w:rPr>
            </w:pPr>
            <w:r w:rsidRPr="00A34958">
              <w:rPr>
                <w:rFonts w:cstheme="minorHAnsi"/>
                <w:sz w:val="20"/>
              </w:rPr>
              <w:t>X</w:t>
            </w:r>
          </w:p>
        </w:tc>
        <w:tc>
          <w:tcPr>
            <w:tcW w:w="6030" w:type="dxa"/>
          </w:tcPr>
          <w:p w14:paraId="010A9425" w14:textId="77777777" w:rsidR="00E87699" w:rsidRPr="00A34958" w:rsidRDefault="00E87699" w:rsidP="00E87699">
            <w:pPr>
              <w:spacing w:before="40" w:after="40"/>
              <w:rPr>
                <w:rFonts w:cstheme="minorHAnsi"/>
                <w:i/>
                <w:sz w:val="20"/>
              </w:rPr>
            </w:pPr>
            <w:r w:rsidRPr="00A34958">
              <w:rPr>
                <w:rFonts w:cstheme="minorHAnsi"/>
                <w:iCs/>
                <w:sz w:val="20"/>
              </w:rPr>
              <w:t xml:space="preserve"> </w:t>
            </w:r>
          </w:p>
        </w:tc>
      </w:tr>
      <w:tr w:rsidR="00E87699" w:rsidRPr="008543E2" w14:paraId="58C9BABF" w14:textId="77777777" w:rsidTr="0047610C">
        <w:trPr>
          <w:cantSplit/>
          <w:trHeight w:val="233"/>
        </w:trPr>
        <w:tc>
          <w:tcPr>
            <w:tcW w:w="5215" w:type="dxa"/>
          </w:tcPr>
          <w:p w14:paraId="2FC263A3" w14:textId="77777777" w:rsidR="00E87699" w:rsidRPr="00B74684" w:rsidRDefault="00E87699" w:rsidP="00E87699">
            <w:pPr>
              <w:spacing w:before="40" w:after="40"/>
              <w:rPr>
                <w:rFonts w:cstheme="minorHAnsi"/>
                <w:sz w:val="20"/>
              </w:rPr>
            </w:pPr>
            <w:r w:rsidRPr="00B74684">
              <w:rPr>
                <w:rFonts w:eastAsia="MS Gothic" w:cstheme="minorHAnsi"/>
                <w:sz w:val="20"/>
              </w:rPr>
              <w:lastRenderedPageBreak/>
              <w:t>13.1.2 The state anticipates the need to make future changes to the STCs, implementation plan, or monitoring protocol, based on expected or upcoming implementation changes</w:t>
            </w:r>
          </w:p>
        </w:tc>
        <w:tc>
          <w:tcPr>
            <w:tcW w:w="1710" w:type="dxa"/>
          </w:tcPr>
          <w:p w14:paraId="4F752570" w14:textId="65011F28" w:rsidR="00E87699" w:rsidRPr="00A34958" w:rsidRDefault="00E87699" w:rsidP="00E87699">
            <w:pPr>
              <w:spacing w:before="40" w:after="40"/>
              <w:rPr>
                <w:rFonts w:cstheme="minorHAnsi"/>
                <w:i/>
                <w:sz w:val="20"/>
              </w:rPr>
            </w:pPr>
            <w:r w:rsidRPr="00A34958">
              <w:rPr>
                <w:rFonts w:cstheme="minorHAnsi"/>
                <w:sz w:val="20"/>
              </w:rPr>
              <w:t>X</w:t>
            </w:r>
          </w:p>
        </w:tc>
        <w:tc>
          <w:tcPr>
            <w:tcW w:w="6030" w:type="dxa"/>
          </w:tcPr>
          <w:p w14:paraId="5C2A2B3D" w14:textId="77777777" w:rsidR="00E87699" w:rsidRPr="00A34958" w:rsidRDefault="00E87699" w:rsidP="00E87699">
            <w:pPr>
              <w:spacing w:before="40" w:after="40"/>
              <w:rPr>
                <w:rFonts w:cstheme="minorHAnsi"/>
                <w:i/>
                <w:sz w:val="20"/>
              </w:rPr>
            </w:pPr>
            <w:r w:rsidRPr="00A34958">
              <w:rPr>
                <w:rFonts w:cstheme="minorHAnsi"/>
                <w:iCs/>
                <w:sz w:val="20"/>
              </w:rPr>
              <w:t xml:space="preserve"> </w:t>
            </w:r>
          </w:p>
        </w:tc>
      </w:tr>
      <w:tr w:rsidR="00E87699" w:rsidRPr="008543E2" w14:paraId="1BE40FDD" w14:textId="77777777" w:rsidTr="0047610C">
        <w:trPr>
          <w:cantSplit/>
          <w:trHeight w:val="233"/>
        </w:trPr>
        <w:tc>
          <w:tcPr>
            <w:tcW w:w="5215" w:type="dxa"/>
          </w:tcPr>
          <w:p w14:paraId="4E0E0754" w14:textId="77777777" w:rsidR="00E87699" w:rsidRPr="00B74684" w:rsidRDefault="00E87699" w:rsidP="00E87699">
            <w:pPr>
              <w:spacing w:before="40" w:after="40"/>
              <w:rPr>
                <w:rFonts w:cstheme="minorHAnsi"/>
                <w:sz w:val="20"/>
              </w:rPr>
            </w:pPr>
            <w:r w:rsidRPr="00B74684">
              <w:rPr>
                <w:rFonts w:cstheme="minorHAnsi"/>
                <w:sz w:val="20"/>
              </w:rPr>
              <w:t xml:space="preserve">13.1.3 Compared to the demonstration design and operational details, the state expects to make the following changes to: </w:t>
            </w:r>
          </w:p>
          <w:p w14:paraId="0B3C0878" w14:textId="77777777" w:rsidR="00E87699" w:rsidRPr="00B74684" w:rsidRDefault="00E87699" w:rsidP="00E87699">
            <w:pPr>
              <w:pStyle w:val="ListParagraph"/>
              <w:numPr>
                <w:ilvl w:val="0"/>
                <w:numId w:val="46"/>
              </w:numPr>
              <w:spacing w:before="40" w:after="40" w:line="240" w:lineRule="auto"/>
              <w:ind w:left="876" w:hanging="180"/>
              <w:contextualSpacing/>
              <w:rPr>
                <w:rFonts w:cstheme="minorHAnsi"/>
                <w:sz w:val="20"/>
              </w:rPr>
            </w:pPr>
            <w:r w:rsidRPr="00B74684">
              <w:rPr>
                <w:rFonts w:cstheme="minorHAnsi"/>
                <w:sz w:val="20"/>
              </w:rPr>
              <w:t>The schedule for completing and submitting monitoring reports</w:t>
            </w:r>
          </w:p>
        </w:tc>
        <w:tc>
          <w:tcPr>
            <w:tcW w:w="1710" w:type="dxa"/>
          </w:tcPr>
          <w:p w14:paraId="191DAD1A" w14:textId="2A84463A" w:rsidR="00E87699" w:rsidRPr="00A34958" w:rsidRDefault="00E87699" w:rsidP="00E87699">
            <w:pPr>
              <w:spacing w:before="40" w:after="40"/>
              <w:rPr>
                <w:rFonts w:cstheme="minorHAnsi"/>
                <w:i/>
                <w:sz w:val="20"/>
              </w:rPr>
            </w:pPr>
            <w:r w:rsidRPr="00A34958">
              <w:rPr>
                <w:rFonts w:cstheme="minorHAnsi"/>
                <w:sz w:val="20"/>
              </w:rPr>
              <w:t>X</w:t>
            </w:r>
          </w:p>
        </w:tc>
        <w:tc>
          <w:tcPr>
            <w:tcW w:w="6030" w:type="dxa"/>
          </w:tcPr>
          <w:p w14:paraId="22867931" w14:textId="34809B7E" w:rsidR="00E87699" w:rsidRPr="00A34958" w:rsidRDefault="00E87699" w:rsidP="00E87699">
            <w:pPr>
              <w:spacing w:before="40" w:after="40"/>
              <w:rPr>
                <w:rFonts w:cstheme="minorHAnsi"/>
                <w:i/>
                <w:sz w:val="20"/>
              </w:rPr>
            </w:pPr>
          </w:p>
        </w:tc>
      </w:tr>
      <w:tr w:rsidR="00E87699" w:rsidRPr="008543E2" w14:paraId="58A4166A" w14:textId="77777777" w:rsidTr="0047610C">
        <w:trPr>
          <w:cantSplit/>
          <w:trHeight w:val="233"/>
        </w:trPr>
        <w:tc>
          <w:tcPr>
            <w:tcW w:w="5215" w:type="dxa"/>
          </w:tcPr>
          <w:p w14:paraId="17415A91" w14:textId="77777777" w:rsidR="00E87699" w:rsidRPr="00E60D72" w:rsidRDefault="00E87699" w:rsidP="00E87699">
            <w:pPr>
              <w:pStyle w:val="ListParagraph"/>
              <w:numPr>
                <w:ilvl w:val="0"/>
                <w:numId w:val="46"/>
              </w:numPr>
              <w:spacing w:before="40" w:after="40" w:line="240" w:lineRule="auto"/>
              <w:ind w:left="876" w:hanging="180"/>
              <w:contextualSpacing/>
              <w:rPr>
                <w:rFonts w:cstheme="minorHAnsi"/>
                <w:sz w:val="20"/>
              </w:rPr>
            </w:pPr>
            <w:r w:rsidRPr="00B74684">
              <w:rPr>
                <w:rFonts w:cstheme="minorHAnsi"/>
                <w:sz w:val="20"/>
              </w:rPr>
              <w:t>The content or completeness of submitted reports and/or future reports</w:t>
            </w:r>
          </w:p>
        </w:tc>
        <w:tc>
          <w:tcPr>
            <w:tcW w:w="1710" w:type="dxa"/>
          </w:tcPr>
          <w:p w14:paraId="413C38E1" w14:textId="6F51A512" w:rsidR="00E87699" w:rsidRPr="00A34958" w:rsidRDefault="00E87699" w:rsidP="00E87699">
            <w:pPr>
              <w:spacing w:before="40" w:after="40"/>
              <w:rPr>
                <w:rFonts w:cstheme="minorHAnsi"/>
                <w:i/>
                <w:sz w:val="20"/>
              </w:rPr>
            </w:pPr>
            <w:r w:rsidRPr="00A34958">
              <w:rPr>
                <w:rFonts w:cstheme="minorHAnsi"/>
                <w:sz w:val="20"/>
              </w:rPr>
              <w:t>X</w:t>
            </w:r>
          </w:p>
        </w:tc>
        <w:tc>
          <w:tcPr>
            <w:tcW w:w="6030" w:type="dxa"/>
          </w:tcPr>
          <w:p w14:paraId="3E5EDF2A" w14:textId="7FF0EC11" w:rsidR="00E87699" w:rsidRPr="00A34958" w:rsidRDefault="00E87699" w:rsidP="00E87699">
            <w:pPr>
              <w:spacing w:before="40" w:after="40"/>
              <w:rPr>
                <w:rFonts w:cstheme="minorHAnsi"/>
                <w:i/>
                <w:sz w:val="20"/>
              </w:rPr>
            </w:pPr>
          </w:p>
        </w:tc>
      </w:tr>
      <w:tr w:rsidR="00E87699" w:rsidRPr="008543E2" w14:paraId="55D48F06" w14:textId="77777777" w:rsidTr="0047610C">
        <w:trPr>
          <w:cantSplit/>
          <w:trHeight w:val="233"/>
        </w:trPr>
        <w:tc>
          <w:tcPr>
            <w:tcW w:w="5215" w:type="dxa"/>
          </w:tcPr>
          <w:p w14:paraId="29FCB747" w14:textId="77777777" w:rsidR="00E87699" w:rsidRPr="00B74684" w:rsidRDefault="00E87699" w:rsidP="00E87699">
            <w:pPr>
              <w:spacing w:before="40" w:after="40"/>
              <w:rPr>
                <w:rFonts w:cstheme="minorHAnsi"/>
                <w:sz w:val="20"/>
              </w:rPr>
            </w:pPr>
            <w:r w:rsidRPr="00B74684">
              <w:rPr>
                <w:rFonts w:eastAsia="MS Gothic" w:cstheme="minorHAnsi"/>
                <w:sz w:val="20"/>
              </w:rPr>
              <w:t>13.1.4 The</w:t>
            </w:r>
            <w:r w:rsidRPr="00B74684">
              <w:rPr>
                <w:rFonts w:cstheme="minorHAnsi"/>
                <w:sz w:val="20"/>
              </w:rPr>
              <w:t xml:space="preserve"> state identified real or anticipated issues submitting timely post-approval demonstration deliverables, including a plan for remediation</w:t>
            </w:r>
          </w:p>
        </w:tc>
        <w:tc>
          <w:tcPr>
            <w:tcW w:w="1710" w:type="dxa"/>
          </w:tcPr>
          <w:p w14:paraId="5F0FDF4E" w14:textId="6C9936D6" w:rsidR="00E87699" w:rsidRPr="00A34958" w:rsidRDefault="00E87699" w:rsidP="00E87699">
            <w:pPr>
              <w:spacing w:before="40" w:after="40"/>
              <w:rPr>
                <w:rFonts w:cstheme="minorHAnsi"/>
                <w:i/>
                <w:sz w:val="20"/>
              </w:rPr>
            </w:pPr>
            <w:r w:rsidRPr="00A34958">
              <w:rPr>
                <w:rFonts w:cstheme="minorHAnsi"/>
                <w:sz w:val="20"/>
              </w:rPr>
              <w:t>X</w:t>
            </w:r>
          </w:p>
        </w:tc>
        <w:tc>
          <w:tcPr>
            <w:tcW w:w="6030" w:type="dxa"/>
          </w:tcPr>
          <w:p w14:paraId="7EF69C3B" w14:textId="77777777" w:rsidR="00E87699" w:rsidRPr="00A34958" w:rsidRDefault="00E87699" w:rsidP="00E87699">
            <w:pPr>
              <w:spacing w:before="40" w:after="40"/>
              <w:rPr>
                <w:rFonts w:cstheme="minorHAnsi"/>
                <w:i/>
                <w:sz w:val="20"/>
              </w:rPr>
            </w:pPr>
            <w:r w:rsidRPr="00A34958">
              <w:rPr>
                <w:rFonts w:cstheme="minorHAnsi"/>
                <w:iCs/>
                <w:sz w:val="20"/>
              </w:rPr>
              <w:t xml:space="preserve"> </w:t>
            </w:r>
          </w:p>
        </w:tc>
      </w:tr>
      <w:tr w:rsidR="00E87699" w:rsidRPr="008543E2" w14:paraId="7E4DFE1A" w14:textId="77777777" w:rsidTr="00757B4B">
        <w:trPr>
          <w:cantSplit/>
          <w:trHeight w:val="220"/>
        </w:trPr>
        <w:tc>
          <w:tcPr>
            <w:tcW w:w="12955" w:type="dxa"/>
            <w:gridSpan w:val="3"/>
            <w:shd w:val="clear" w:color="auto" w:fill="F2F2F2"/>
          </w:tcPr>
          <w:p w14:paraId="567FC24E" w14:textId="77777777" w:rsidR="00E87699" w:rsidRPr="00B74684" w:rsidRDefault="00E87699" w:rsidP="00E87699">
            <w:pPr>
              <w:keepNext/>
              <w:rPr>
                <w:rFonts w:cstheme="minorHAnsi"/>
                <w:bCs/>
                <w:sz w:val="20"/>
              </w:rPr>
            </w:pPr>
            <w:r w:rsidRPr="00B74684">
              <w:rPr>
                <w:rFonts w:cstheme="minorHAnsi"/>
                <w:b/>
                <w:sz w:val="20"/>
              </w:rPr>
              <w:t>13.2 Post-award public forum</w:t>
            </w:r>
          </w:p>
        </w:tc>
      </w:tr>
      <w:tr w:rsidR="00E87699" w:rsidRPr="008543E2" w14:paraId="4B361770" w14:textId="77777777" w:rsidTr="0047610C">
        <w:trPr>
          <w:cantSplit/>
          <w:trHeight w:val="233"/>
        </w:trPr>
        <w:tc>
          <w:tcPr>
            <w:tcW w:w="5215" w:type="dxa"/>
          </w:tcPr>
          <w:p w14:paraId="111A2E80" w14:textId="77777777" w:rsidR="00E87699" w:rsidRPr="00B74684" w:rsidRDefault="00E87699" w:rsidP="00E87699">
            <w:pPr>
              <w:spacing w:before="40" w:after="40"/>
              <w:rPr>
                <w:rFonts w:cstheme="minorHAnsi"/>
                <w:color w:val="C2AA6D" w:themeColor="background2" w:themeShade="BF"/>
                <w:sz w:val="20"/>
              </w:rPr>
            </w:pPr>
            <w:r w:rsidRPr="00B74684">
              <w:rPr>
                <w:rFonts w:cstheme="minorHAnsi"/>
                <w:sz w:val="20"/>
              </w:rPr>
              <w:t xml:space="preserve">13.2.2 If applicable within the timing of the demonstration, provide a summary of the annual post-award public forum held pursuant to 42 CFR § 431.420(c) indicating any resulting action items or issues.  A summary of the post-award public forum must be included here for the period during which the forum </w:t>
            </w:r>
            <w:proofErr w:type="gramStart"/>
            <w:r w:rsidRPr="00B74684">
              <w:rPr>
                <w:rFonts w:cstheme="minorHAnsi"/>
                <w:sz w:val="20"/>
              </w:rPr>
              <w:t>was held</w:t>
            </w:r>
            <w:proofErr w:type="gramEnd"/>
            <w:r w:rsidRPr="00B74684">
              <w:rPr>
                <w:rFonts w:cstheme="minorHAnsi"/>
                <w:sz w:val="20"/>
              </w:rPr>
              <w:t xml:space="preserve"> and in the annual report.</w:t>
            </w:r>
          </w:p>
        </w:tc>
        <w:tc>
          <w:tcPr>
            <w:tcW w:w="1710" w:type="dxa"/>
          </w:tcPr>
          <w:p w14:paraId="34768C23" w14:textId="02F35E7E" w:rsidR="00E87699" w:rsidRPr="00A34958" w:rsidRDefault="00E87699" w:rsidP="00E87699">
            <w:pPr>
              <w:spacing w:before="40" w:after="40"/>
              <w:rPr>
                <w:rFonts w:cstheme="minorHAnsi"/>
                <w:i/>
                <w:sz w:val="20"/>
              </w:rPr>
            </w:pPr>
            <w:r w:rsidRPr="00A34958">
              <w:rPr>
                <w:rFonts w:cstheme="minorHAnsi"/>
                <w:sz w:val="20"/>
              </w:rPr>
              <w:t>X</w:t>
            </w:r>
          </w:p>
        </w:tc>
        <w:tc>
          <w:tcPr>
            <w:tcW w:w="6030" w:type="dxa"/>
          </w:tcPr>
          <w:p w14:paraId="42EAF7ED" w14:textId="0350D44E" w:rsidR="00E87699" w:rsidRPr="00236894" w:rsidRDefault="00E87699" w:rsidP="00E87699">
            <w:pPr>
              <w:spacing w:before="40" w:after="40"/>
              <w:rPr>
                <w:rFonts w:cstheme="minorHAnsi"/>
                <w:i/>
                <w:sz w:val="20"/>
              </w:rPr>
            </w:pPr>
          </w:p>
        </w:tc>
      </w:tr>
      <w:tr w:rsidR="00E87699" w:rsidRPr="008543E2" w14:paraId="01470B81" w14:textId="77777777" w:rsidTr="00757B4B">
        <w:trPr>
          <w:cantSplit/>
          <w:trHeight w:val="220"/>
        </w:trPr>
        <w:tc>
          <w:tcPr>
            <w:tcW w:w="12955" w:type="dxa"/>
            <w:gridSpan w:val="3"/>
            <w:shd w:val="clear" w:color="auto" w:fill="D9D9D9"/>
          </w:tcPr>
          <w:p w14:paraId="752E0371" w14:textId="77777777" w:rsidR="00E87699" w:rsidRPr="00A34958" w:rsidRDefault="00E87699" w:rsidP="00E87699">
            <w:pPr>
              <w:keepNext/>
              <w:rPr>
                <w:rFonts w:cstheme="minorHAnsi"/>
                <w:b/>
                <w:sz w:val="20"/>
              </w:rPr>
            </w:pPr>
            <w:r w:rsidRPr="00A34958">
              <w:rPr>
                <w:rFonts w:cstheme="minorHAnsi"/>
                <w:b/>
                <w:sz w:val="20"/>
              </w:rPr>
              <w:lastRenderedPageBreak/>
              <w:t>14. Notable state achievements and/or innovations</w:t>
            </w:r>
          </w:p>
        </w:tc>
      </w:tr>
      <w:tr w:rsidR="00E87699" w:rsidRPr="008543E2" w14:paraId="5CF94720" w14:textId="77777777" w:rsidTr="00E60D72">
        <w:trPr>
          <w:cantSplit/>
          <w:trHeight w:val="220"/>
        </w:trPr>
        <w:tc>
          <w:tcPr>
            <w:tcW w:w="12955" w:type="dxa"/>
            <w:gridSpan w:val="3"/>
            <w:tcBorders>
              <w:bottom w:val="single" w:sz="4" w:space="0" w:color="DDE0E3" w:themeColor="accent3" w:themeTint="33"/>
            </w:tcBorders>
            <w:shd w:val="clear" w:color="auto" w:fill="F2F2F2"/>
          </w:tcPr>
          <w:p w14:paraId="1D90F44F" w14:textId="77777777" w:rsidR="00E87699" w:rsidRPr="00A34958" w:rsidRDefault="00E87699" w:rsidP="00E87699">
            <w:pPr>
              <w:keepNext/>
              <w:rPr>
                <w:rFonts w:cstheme="minorHAnsi"/>
                <w:bCs/>
                <w:sz w:val="20"/>
              </w:rPr>
            </w:pPr>
            <w:r w:rsidRPr="00A34958">
              <w:rPr>
                <w:rFonts w:cstheme="minorHAnsi"/>
                <w:b/>
                <w:sz w:val="20"/>
              </w:rPr>
              <w:t>14.1 Narrative information</w:t>
            </w:r>
          </w:p>
        </w:tc>
      </w:tr>
      <w:tr w:rsidR="00E87699" w:rsidRPr="008543E2" w14:paraId="6E148E61" w14:textId="77777777" w:rsidTr="0047610C">
        <w:trPr>
          <w:cantSplit/>
          <w:trHeight w:val="233"/>
        </w:trPr>
        <w:tc>
          <w:tcPr>
            <w:tcW w:w="5215" w:type="dxa"/>
            <w:tcBorders>
              <w:top w:val="single" w:sz="4" w:space="0" w:color="DDE0E3" w:themeColor="accent3" w:themeTint="33"/>
              <w:bottom w:val="single" w:sz="4" w:space="0" w:color="auto"/>
            </w:tcBorders>
          </w:tcPr>
          <w:p w14:paraId="622A8674" w14:textId="77777777" w:rsidR="00E87699" w:rsidRPr="00E60D72" w:rsidRDefault="00E87699" w:rsidP="00E87699">
            <w:pPr>
              <w:spacing w:before="40" w:after="40"/>
              <w:rPr>
                <w:rFonts w:cstheme="minorHAnsi"/>
                <w:i/>
                <w:sz w:val="20"/>
              </w:rPr>
            </w:pPr>
            <w:r w:rsidRPr="00E60D72">
              <w:rPr>
                <w:rFonts w:cstheme="minorHAnsi"/>
                <w:sz w:val="20"/>
              </w:rPr>
              <w:t>14.1.1 Provide any relevant summary of achievements and/or innovations in demonstration enrollment, benefits, operations, and policies pursuant to the hypotheses of the SUD (or if broader demonstration, then SUD related) demonstration or that served to provide better care for individuals, better health for populations, and/or reduce per capita cost.  Achievements should focus on significant impacts to beneficiary outcomes.  Whenever possible, the summary should describe the achievement or innovation in quantifiable terms, e.g., number of impacted beneficiaries.</w:t>
            </w:r>
          </w:p>
        </w:tc>
        <w:tc>
          <w:tcPr>
            <w:tcW w:w="1710" w:type="dxa"/>
            <w:tcBorders>
              <w:top w:val="single" w:sz="4" w:space="0" w:color="DDE0E3" w:themeColor="accent3" w:themeTint="33"/>
              <w:bottom w:val="single" w:sz="4" w:space="0" w:color="auto"/>
            </w:tcBorders>
          </w:tcPr>
          <w:p w14:paraId="147500FC" w14:textId="15BBAEC0" w:rsidR="00E87699" w:rsidRPr="0035368B" w:rsidRDefault="00E87699" w:rsidP="00E87699">
            <w:pPr>
              <w:spacing w:before="40" w:after="40"/>
              <w:rPr>
                <w:rFonts w:cstheme="minorHAnsi"/>
                <w:sz w:val="20"/>
              </w:rPr>
            </w:pPr>
          </w:p>
        </w:tc>
        <w:tc>
          <w:tcPr>
            <w:tcW w:w="6030" w:type="dxa"/>
            <w:tcBorders>
              <w:top w:val="single" w:sz="4" w:space="0" w:color="DDE0E3" w:themeColor="accent3" w:themeTint="33"/>
              <w:bottom w:val="single" w:sz="4" w:space="0" w:color="auto"/>
            </w:tcBorders>
          </w:tcPr>
          <w:p w14:paraId="67B38C26" w14:textId="68204084" w:rsidR="00E87699" w:rsidRPr="0035368B" w:rsidRDefault="00620F11" w:rsidP="00620F11">
            <w:pPr>
              <w:spacing w:before="40" w:after="40"/>
              <w:rPr>
                <w:rFonts w:cstheme="minorHAnsi"/>
                <w:sz w:val="20"/>
              </w:rPr>
            </w:pPr>
            <w:r>
              <w:rPr>
                <w:rFonts w:cstheme="minorHAnsi"/>
                <w:sz w:val="20"/>
              </w:rPr>
              <w:t>On July 1, 2021, Louisiana marked</w:t>
            </w:r>
            <w:r w:rsidRPr="0035368B">
              <w:rPr>
                <w:rFonts w:cstheme="minorHAnsi"/>
                <w:sz w:val="20"/>
              </w:rPr>
              <w:t xml:space="preserve"> five years since expanding Medicaid coverage for the hard-working poor across </w:t>
            </w:r>
            <w:r>
              <w:rPr>
                <w:rFonts w:cstheme="minorHAnsi"/>
                <w:sz w:val="20"/>
              </w:rPr>
              <w:t>the</w:t>
            </w:r>
            <w:r w:rsidRPr="0035368B">
              <w:rPr>
                <w:rFonts w:cstheme="minorHAnsi"/>
                <w:sz w:val="20"/>
              </w:rPr>
              <w:t xml:space="preserve"> state. To date, more than 600,000 citizens are benefitting from access to quality healthcare that many otherwise have never been able to afford.</w:t>
            </w:r>
          </w:p>
        </w:tc>
      </w:tr>
    </w:tbl>
    <w:p w14:paraId="25A713C1" w14:textId="77777777" w:rsidR="005F57A0" w:rsidRDefault="005F57A0" w:rsidP="005F57A0">
      <w:pPr>
        <w:pStyle w:val="TableFootnote"/>
        <w:ind w:left="630" w:hanging="630"/>
        <w:rPr>
          <w:rFonts w:asciiTheme="minorHAnsi" w:hAnsiTheme="minorHAnsi" w:cstheme="minorHAnsi"/>
        </w:rPr>
      </w:pPr>
      <w:r>
        <w:rPr>
          <w:rFonts w:asciiTheme="minorHAnsi" w:hAnsiTheme="minorHAnsi" w:cstheme="minorHAnsi"/>
        </w:rPr>
        <w:t>*The state should remove all example text from the table prior to submission.</w:t>
      </w:r>
    </w:p>
    <w:p w14:paraId="15AD97FA" w14:textId="77777777" w:rsidR="005F57A0" w:rsidRPr="00464BF8" w:rsidRDefault="005F57A0" w:rsidP="005F57A0">
      <w:pPr>
        <w:pStyle w:val="TableFootnote"/>
        <w:ind w:left="630" w:hanging="630"/>
        <w:rPr>
          <w:rFonts w:asciiTheme="minorHAnsi" w:hAnsiTheme="minorHAnsi" w:cstheme="minorHAnsi"/>
        </w:rPr>
      </w:pPr>
      <w:r w:rsidRPr="00464BF8">
        <w:rPr>
          <w:rFonts w:asciiTheme="minorHAnsi" w:hAnsiTheme="minorHAnsi" w:cstheme="minorHAnsi"/>
        </w:rPr>
        <w:t xml:space="preserve">Note: </w:t>
      </w:r>
      <w:r w:rsidRPr="00464BF8">
        <w:rPr>
          <w:rFonts w:asciiTheme="minorHAnsi" w:hAnsiTheme="minorHAnsi" w:cstheme="minorHAnsi"/>
        </w:rPr>
        <w:tab/>
        <w:t xml:space="preserve">Licensee and states must prominently display the following notice on any display of Measure rates: </w:t>
      </w:r>
    </w:p>
    <w:p w14:paraId="3FAC0286" w14:textId="77777777" w:rsidR="005F57A0" w:rsidRPr="0030710E" w:rsidRDefault="005F57A0" w:rsidP="005F57A0">
      <w:pPr>
        <w:pStyle w:val="TableFootnote"/>
        <w:rPr>
          <w:rFonts w:asciiTheme="minorHAnsi" w:eastAsia="Calibri" w:hAnsiTheme="minorHAnsi" w:cstheme="minorHAnsi"/>
          <w:i/>
          <w:iCs/>
          <w:szCs w:val="16"/>
        </w:rPr>
      </w:pPr>
      <w:r w:rsidRPr="0030710E">
        <w:rPr>
          <w:rFonts w:asciiTheme="minorHAnsi" w:eastAsia="Calibri" w:hAnsiTheme="minorHAnsi" w:cstheme="minorHAnsi"/>
          <w:i/>
          <w:iCs/>
          <w:szCs w:val="16"/>
        </w:rPr>
        <w:t xml:space="preserve">Measures IET-AD, FUA-AD, FUM-AD, and AAP [Metrics #15, 17(1), 17(2), and 32] are Healthcare Effectiveness Data and Information Set (HEDIS®) measures that </w:t>
      </w:r>
      <w:proofErr w:type="gramStart"/>
      <w:r w:rsidRPr="0030710E">
        <w:rPr>
          <w:rFonts w:asciiTheme="minorHAnsi" w:eastAsia="Calibri" w:hAnsiTheme="minorHAnsi" w:cstheme="minorHAnsi"/>
          <w:i/>
          <w:iCs/>
          <w:szCs w:val="16"/>
        </w:rPr>
        <w:t>are owned and copyrighted by the National Committee for Quality Assurance (NCQA)</w:t>
      </w:r>
      <w:proofErr w:type="gramEnd"/>
      <w:r w:rsidRPr="0030710E">
        <w:rPr>
          <w:rFonts w:asciiTheme="minorHAnsi" w:eastAsia="Calibri" w:hAnsiTheme="minorHAnsi" w:cstheme="minorHAnsi"/>
          <w:i/>
          <w:iCs/>
          <w:szCs w:val="16"/>
        </w:rPr>
        <w:t xml:space="preserve">.  HEDIS measures and specifications are not clinical guidelines, do not establish a standard of medical care and have not been tested for all potential applications.  The measures and specifications are provided “as is” without warranty of any kind.  NCQA makes no representations, warranties or endorsements about the quality of any product, test or protocol identified as numerator compliant or otherwise identified as meeting the requirements of a HEDIS measure or specification.  NCQA makes no representations, warranties, or endorsement about the quality of any organization or clinician who uses or reports performance measures and NCQA has no liability to anyone who relies on HEDIS measures or specifications or data reflective of performance under such measures and specifications. </w:t>
      </w:r>
    </w:p>
    <w:p w14:paraId="44E9AB11" w14:textId="77777777" w:rsidR="005F57A0" w:rsidRPr="0030710E" w:rsidRDefault="005F57A0" w:rsidP="005F57A0">
      <w:pPr>
        <w:pStyle w:val="TableFootnote"/>
        <w:spacing w:after="240"/>
        <w:rPr>
          <w:rFonts w:asciiTheme="minorHAnsi" w:eastAsia="Calibri" w:hAnsiTheme="minorHAnsi" w:cstheme="minorHAnsi"/>
          <w:i/>
          <w:iCs/>
          <w:szCs w:val="16"/>
        </w:rPr>
      </w:pPr>
      <w:r w:rsidRPr="0030710E">
        <w:rPr>
          <w:rFonts w:asciiTheme="minorHAnsi" w:eastAsia="Calibri" w:hAnsiTheme="minorHAnsi" w:cstheme="minorHAnsi"/>
          <w:i/>
          <w:iCs/>
          <w:szCs w:val="16"/>
        </w:rPr>
        <w:t xml:space="preserve">The measure specification methodology used by CMS is different from NCQA’s methodology.  NCQA has not validated the adjusted measure specifications but has granted CMS permission to adjust.  A calculated measure result (a “rate”) from a HEDIS measure that has not been certified via NCQA’s Measure Certification Program, and is based on adjusted HEDIS specifications, may not be called a “HEDIS rate” until it is audited and designated reportable by an NCQA-Certified HEDIS Compliance Auditor. Until such time, such measure rates shall be designated or referred to as “Adjusted, Uncertified, </w:t>
      </w:r>
      <w:proofErr w:type="gramStart"/>
      <w:r w:rsidRPr="0030710E">
        <w:rPr>
          <w:rFonts w:asciiTheme="minorHAnsi" w:eastAsia="Calibri" w:hAnsiTheme="minorHAnsi" w:cstheme="minorHAnsi"/>
          <w:i/>
          <w:iCs/>
          <w:szCs w:val="16"/>
        </w:rPr>
        <w:t>Unaudited</w:t>
      </w:r>
      <w:proofErr w:type="gramEnd"/>
      <w:r w:rsidRPr="0030710E">
        <w:rPr>
          <w:rFonts w:asciiTheme="minorHAnsi" w:eastAsia="Calibri" w:hAnsiTheme="minorHAnsi" w:cstheme="minorHAnsi"/>
          <w:i/>
          <w:iCs/>
          <w:szCs w:val="16"/>
        </w:rPr>
        <w:t xml:space="preserve"> HEDIS rates.”</w:t>
      </w:r>
    </w:p>
    <w:p w14:paraId="53548397" w14:textId="77777777" w:rsidR="00EC0400" w:rsidRPr="004B39BF" w:rsidRDefault="00EC0400" w:rsidP="00DE0B86">
      <w:pPr>
        <w:spacing w:before="60"/>
      </w:pPr>
    </w:p>
    <w:sectPr w:rsidR="00EC0400" w:rsidRPr="004B39BF" w:rsidSect="00DE0B86">
      <w:headerReference w:type="even" r:id="rId11"/>
      <w:headerReference w:type="default" r:id="rId12"/>
      <w:footerReference w:type="default" r:id="rId13"/>
      <w:headerReference w:type="first" r:id="rId14"/>
      <w:pgSz w:w="15840" w:h="12240" w:orient="landscape"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8EA57" w14:textId="77777777" w:rsidR="00620F11" w:rsidRPr="00D37B98" w:rsidRDefault="00620F11" w:rsidP="00820339">
      <w:r w:rsidRPr="00D37B98">
        <w:t>Endnotes</w:t>
      </w:r>
    </w:p>
  </w:endnote>
  <w:endnote w:type="continuationSeparator" w:id="0">
    <w:p w14:paraId="276EA811" w14:textId="77777777" w:rsidR="00620F11" w:rsidRPr="00D37B98" w:rsidRDefault="00620F11" w:rsidP="00BF08C3">
      <w:pPr>
        <w:pStyle w:val="FootnoteSep"/>
      </w:pPr>
    </w:p>
  </w:endnote>
  <w:endnote w:type="continuationNotice" w:id="1">
    <w:p w14:paraId="37CA8B9A" w14:textId="77777777" w:rsidR="00620F11" w:rsidRPr="00D37B98" w:rsidRDefault="00620F11" w:rsidP="00C747B5">
      <w:r w:rsidRPr="00D37B98">
        <w:t>(</w:t>
      </w:r>
      <w:proofErr w:type="gramStart"/>
      <w:r w:rsidRPr="00D37B98">
        <w:t>continued</w:t>
      </w:r>
      <w:proofErr w:type="gramEnd"/>
      <w:r w:rsidRPr="00D37B98">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charset w:val="00"/>
    <w:family w:val="auto"/>
    <w:pitch w:val="variable"/>
    <w:sig w:usb0="00000001"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22BC" w14:textId="5BB0B337" w:rsidR="00620F11" w:rsidRPr="00CA5BC4" w:rsidRDefault="00620F11" w:rsidP="00DE0B86">
    <w:pPr>
      <w:pStyle w:val="Footer"/>
      <w:jc w:val="right"/>
      <w:rPr>
        <w:rFonts w:asciiTheme="minorHAnsi" w:hAnsiTheme="minorHAnsi" w:cstheme="minorHAnsi"/>
        <w:sz w:val="24"/>
        <w:szCs w:val="24"/>
      </w:rPr>
    </w:pPr>
    <w:r w:rsidRPr="00CA5BC4">
      <w:rPr>
        <w:rFonts w:asciiTheme="minorHAnsi" w:hAnsiTheme="minorHAnsi" w:cstheme="minorHAnsi"/>
        <w:sz w:val="24"/>
        <w:szCs w:val="24"/>
      </w:rPr>
      <w:fldChar w:fldCharType="begin"/>
    </w:r>
    <w:r w:rsidRPr="00CA5BC4">
      <w:rPr>
        <w:rFonts w:asciiTheme="minorHAnsi" w:hAnsiTheme="minorHAnsi" w:cstheme="minorHAnsi"/>
        <w:sz w:val="24"/>
        <w:szCs w:val="24"/>
      </w:rPr>
      <w:instrText xml:space="preserve"> PAGE </w:instrText>
    </w:r>
    <w:r w:rsidRPr="00CA5BC4">
      <w:rPr>
        <w:rFonts w:asciiTheme="minorHAnsi" w:hAnsiTheme="minorHAnsi" w:cstheme="minorHAnsi"/>
        <w:sz w:val="24"/>
        <w:szCs w:val="24"/>
      </w:rPr>
      <w:fldChar w:fldCharType="separate"/>
    </w:r>
    <w:r w:rsidR="00172A22">
      <w:rPr>
        <w:rFonts w:asciiTheme="minorHAnsi" w:hAnsiTheme="minorHAnsi" w:cstheme="minorHAnsi"/>
        <w:noProof/>
        <w:sz w:val="24"/>
        <w:szCs w:val="24"/>
      </w:rPr>
      <w:t>19</w:t>
    </w:r>
    <w:r w:rsidRPr="00CA5BC4">
      <w:rPr>
        <w:rFonts w:asciiTheme="minorHAnsi" w:hAnsiTheme="minorHAnsi" w:cstheme="minorHAns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80C78" w14:textId="77777777" w:rsidR="00620F11" w:rsidRPr="00D37B98" w:rsidRDefault="00620F11" w:rsidP="00CC0E68">
      <w:pPr>
        <w:pStyle w:val="FootnoteSep"/>
      </w:pPr>
      <w:r w:rsidRPr="00D37B98">
        <w:separator/>
      </w:r>
    </w:p>
  </w:footnote>
  <w:footnote w:type="continuationSeparator" w:id="0">
    <w:p w14:paraId="230AB528" w14:textId="77777777" w:rsidR="00620F11" w:rsidRPr="00D37B98" w:rsidRDefault="00620F11" w:rsidP="007F094C">
      <w:pPr>
        <w:pStyle w:val="FootnoteSep"/>
      </w:pPr>
    </w:p>
    <w:p w14:paraId="6CD488F5" w14:textId="77777777" w:rsidR="00620F11" w:rsidRPr="00D37B98" w:rsidRDefault="00620F11" w:rsidP="007F094C">
      <w:pPr>
        <w:pStyle w:val="FootnoteText"/>
      </w:pPr>
      <w:r w:rsidRPr="00D37B98">
        <w:t>(</w:t>
      </w:r>
      <w:proofErr w:type="gramStart"/>
      <w:r w:rsidRPr="00D37B98">
        <w:t>continued</w:t>
      </w:r>
      <w:proofErr w:type="gramEnd"/>
      <w:r w:rsidRPr="00D37B98">
        <w:t>)</w:t>
      </w:r>
    </w:p>
  </w:footnote>
  <w:footnote w:type="continuationNotice" w:id="1">
    <w:p w14:paraId="30A0857C" w14:textId="77777777" w:rsidR="00620F11" w:rsidRPr="00D37B98" w:rsidRDefault="00620F11" w:rsidP="00DF35D6">
      <w:pPr>
        <w:pStyle w:val="FootnoteText"/>
      </w:pPr>
      <w:r w:rsidRPr="00D37B98">
        <w:t>(</w:t>
      </w:r>
      <w:proofErr w:type="gramStart"/>
      <w:r w:rsidRPr="00D37B98">
        <w:t>continued</w:t>
      </w:r>
      <w:proofErr w:type="gramEnd"/>
      <w:r w:rsidRPr="00D37B9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AA41" w14:textId="77777777" w:rsidR="00620F11" w:rsidRDefault="00172A22">
    <w:pPr>
      <w:pStyle w:val="Header"/>
    </w:pPr>
    <w:r>
      <w:rPr>
        <w:noProof/>
      </w:rPr>
      <w:pict w14:anchorId="38AE8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86766" o:spid="_x0000_s2050"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AEB67" w14:textId="77777777" w:rsidR="00620F11" w:rsidRPr="00077AA2" w:rsidRDefault="00620F11" w:rsidP="00CA5BC4">
    <w:pPr>
      <w:pBdr>
        <w:bottom w:val="single" w:sz="4" w:space="1" w:color="auto"/>
      </w:pBdr>
      <w:tabs>
        <w:tab w:val="center" w:pos="4680"/>
        <w:tab w:val="right" w:pos="9360"/>
      </w:tabs>
      <w:spacing w:after="480" w:line="240" w:lineRule="auto"/>
      <w:contextualSpacing/>
      <w:rPr>
        <w:rFonts w:ascii="Times New Roman" w:hAnsi="Times New Roman"/>
        <w:szCs w:val="24"/>
      </w:rPr>
    </w:pPr>
    <w:bookmarkStart w:id="16" w:name="_Hlk36641549"/>
    <w:bookmarkStart w:id="17" w:name="_Hlk36641550"/>
    <w:bookmarkStart w:id="18" w:name="_Hlk36641553"/>
    <w:bookmarkStart w:id="19" w:name="_Hlk36641554"/>
    <w:bookmarkStart w:id="20" w:name="_Hlk36641555"/>
    <w:bookmarkStart w:id="21" w:name="_Hlk36641556"/>
    <w:bookmarkStart w:id="22" w:name="_Hlk38037729"/>
    <w:bookmarkStart w:id="23" w:name="_Hlk38037730"/>
    <w:r>
      <w:rPr>
        <w:rFonts w:ascii="Times New Roman" w:hAnsi="Times New Roman"/>
        <w:szCs w:val="24"/>
      </w:rPr>
      <w:t>Medicaid Section 1115 SUD Demonstrations Monitoring Report – Part B Version 3.0</w:t>
    </w:r>
  </w:p>
  <w:bookmarkEnd w:id="16"/>
  <w:bookmarkEnd w:id="17"/>
  <w:bookmarkEnd w:id="18"/>
  <w:bookmarkEnd w:id="19"/>
  <w:bookmarkEnd w:id="20"/>
  <w:bookmarkEnd w:id="21"/>
  <w:bookmarkEnd w:id="22"/>
  <w:bookmarkEnd w:id="23"/>
  <w:p w14:paraId="63559BE4" w14:textId="77777777" w:rsidR="00620F11" w:rsidRPr="00CA5BC4" w:rsidRDefault="00620F11" w:rsidP="00E60D72">
    <w:pPr>
      <w:pBdr>
        <w:bottom w:val="single" w:sz="4" w:space="1" w:color="auto"/>
      </w:pBdr>
      <w:tabs>
        <w:tab w:val="center" w:pos="4680"/>
        <w:tab w:val="right" w:pos="9360"/>
      </w:tabs>
      <w:spacing w:after="480" w:line="240" w:lineRule="auto"/>
      <w:contextualSpacing/>
      <w:rPr>
        <w:rFonts w:ascii="Times New Roman" w:hAnsi="Times New Roman"/>
        <w:szCs w:val="24"/>
      </w:rPr>
    </w:pPr>
    <w:r>
      <w:rPr>
        <w:rFonts w:ascii="Times New Roman" w:hAnsi="Times New Roman"/>
        <w:szCs w:val="24"/>
      </w:rPr>
      <w:t>Louisiana Healthy Louisiana Substance Use Disorder Demonstration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A6AB2" w14:textId="77777777" w:rsidR="00620F11" w:rsidRPr="00372A3B" w:rsidRDefault="00172A22" w:rsidP="00DE0B86">
    <w:r>
      <w:rPr>
        <w:noProof/>
      </w:rPr>
      <w:pict w14:anchorId="1BA3F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86765"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620F11" w:rsidRPr="00372A3B">
      <w:t>Medicaid Section 1115 Monitoring Report</w:t>
    </w:r>
    <w:r w:rsidR="00620F11">
      <w:t xml:space="preserve"> – Appendix A</w:t>
    </w:r>
  </w:p>
  <w:p w14:paraId="302C128B" w14:textId="77777777" w:rsidR="00620F11" w:rsidRPr="00A45E21" w:rsidRDefault="00620F11" w:rsidP="00DE0B86">
    <w:r w:rsidRPr="00A45E21">
      <w:t xml:space="preserve">[State] [Demonstration Name] </w:t>
    </w:r>
  </w:p>
  <w:p w14:paraId="25D03D35" w14:textId="77777777" w:rsidR="00620F11" w:rsidRDefault="00620F11" w:rsidP="00DE0B86">
    <w:r>
      <w:t>[Demonstration Year] – [Calendar Dates for Demonstration Year]</w:t>
    </w:r>
  </w:p>
  <w:p w14:paraId="40C8E482" w14:textId="77777777" w:rsidR="00620F11" w:rsidRPr="00A45E21" w:rsidRDefault="00620F11" w:rsidP="00DE0B86">
    <w:r w:rsidRPr="00A45E21">
      <w:t xml:space="preserve">[Reporting </w:t>
    </w:r>
    <w:r>
      <w:t>Period</w:t>
    </w:r>
    <w:r w:rsidRPr="00A45E21">
      <w:t>] – [Calendar Dates for Reporting Period]</w:t>
    </w:r>
  </w:p>
  <w:p w14:paraId="75F3294A" w14:textId="77777777" w:rsidR="00620F11" w:rsidRPr="00A45E21" w:rsidRDefault="00620F11" w:rsidP="00DE0B86">
    <w:pPr>
      <w:pBdr>
        <w:bottom w:val="single" w:sz="4" w:space="1" w:color="auto"/>
      </w:pBdr>
    </w:pPr>
    <w:r w:rsidRPr="00A45E21">
      <w:t>Submitted on [Insert Date]</w:t>
    </w:r>
  </w:p>
  <w:p w14:paraId="0C83E277" w14:textId="77777777" w:rsidR="00620F11" w:rsidRDefault="00620F11" w:rsidP="00DE0B86">
    <w:pPr>
      <w:pStyle w:val="Header"/>
      <w:ind w:firstLine="720"/>
    </w:pPr>
  </w:p>
  <w:p w14:paraId="3A9395F8" w14:textId="77777777" w:rsidR="00620F11" w:rsidRDefault="00620F11" w:rsidP="00DE0B86">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0200C0"/>
    <w:lvl w:ilvl="0">
      <w:start w:val="1"/>
      <w:numFmt w:val="decimal"/>
      <w:lvlText w:val="%1."/>
      <w:lvlJc w:val="left"/>
      <w:pPr>
        <w:tabs>
          <w:tab w:val="num" w:pos="1620"/>
        </w:tabs>
        <w:ind w:left="1620" w:hanging="360"/>
      </w:pPr>
    </w:lvl>
  </w:abstractNum>
  <w:abstractNum w:abstractNumId="1" w15:restartNumberingAfterBreak="0">
    <w:nsid w:val="FFFFFF7D"/>
    <w:multiLevelType w:val="singleLevel"/>
    <w:tmpl w:val="7B909E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B14DE9"/>
    <w:multiLevelType w:val="hybridMultilevel"/>
    <w:tmpl w:val="AA7AAEA4"/>
    <w:lvl w:ilvl="0" w:tplc="4FA6FBBA">
      <w:start w:val="1"/>
      <w:numFmt w:val="lowerRoman"/>
      <w:lvlText w:val="6.2.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5669C2"/>
    <w:multiLevelType w:val="multilevel"/>
    <w:tmpl w:val="5350B672"/>
    <w:lvl w:ilvl="0">
      <w:start w:val="13"/>
      <w:numFmt w:val="decimal"/>
      <w:lvlText w:val="%1."/>
      <w:lvlJc w:val="left"/>
      <w:pPr>
        <w:ind w:left="360" w:hanging="360"/>
      </w:pPr>
      <w:rPr>
        <w:rFonts w:hint="default"/>
        <w:i w:val="0"/>
        <w:color w:val="auto"/>
      </w:rPr>
    </w:lvl>
    <w:lvl w:ilvl="1">
      <w:start w:val="1"/>
      <w:numFmt w:val="decimal"/>
      <w:lvlText w:val="%1.%2."/>
      <w:lvlJc w:val="left"/>
      <w:pPr>
        <w:ind w:left="612" w:hanging="432"/>
      </w:pPr>
      <w:rPr>
        <w:rFonts w:hint="default"/>
      </w:rPr>
    </w:lvl>
    <w:lvl w:ilvl="2">
      <w:start w:val="1"/>
      <w:numFmt w:val="decimal"/>
      <w:lvlText w:val="%1.%2.%3."/>
      <w:lvlJc w:val="left"/>
      <w:pPr>
        <w:ind w:left="1044" w:hanging="504"/>
      </w:pPr>
      <w:rPr>
        <w:rFonts w:hint="default"/>
      </w:rPr>
    </w:lvl>
    <w:lvl w:ilvl="3">
      <w:start w:val="1"/>
      <w:numFmt w:val="decimal"/>
      <w:lvlText w:val="%1.%2.%3.%4."/>
      <w:lvlJc w:val="left"/>
      <w:pPr>
        <w:ind w:left="1548" w:hanging="648"/>
      </w:pPr>
      <w:rPr>
        <w:rFonts w:hint="default"/>
      </w:rPr>
    </w:lvl>
    <w:lvl w:ilvl="4">
      <w:start w:val="1"/>
      <w:numFmt w:val="decimal"/>
      <w:lvlText w:val="%1.%2.%3.%4.%5."/>
      <w:lvlJc w:val="left"/>
      <w:pPr>
        <w:ind w:left="2052" w:hanging="792"/>
      </w:pPr>
      <w:rPr>
        <w:rFonts w:hint="default"/>
      </w:rPr>
    </w:lvl>
    <w:lvl w:ilvl="5">
      <w:start w:val="1"/>
      <w:numFmt w:val="decimal"/>
      <w:lvlText w:val="%1.%2.%3.%4.%5.%6."/>
      <w:lvlJc w:val="left"/>
      <w:pPr>
        <w:ind w:left="2556" w:hanging="936"/>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564" w:hanging="1224"/>
      </w:pPr>
      <w:rPr>
        <w:rFonts w:hint="default"/>
      </w:rPr>
    </w:lvl>
    <w:lvl w:ilvl="8">
      <w:start w:val="1"/>
      <w:numFmt w:val="decimal"/>
      <w:lvlText w:val="%1.%2.%3.%4.%5.%6.%7.%8.%9."/>
      <w:lvlJc w:val="left"/>
      <w:pPr>
        <w:ind w:left="4140" w:hanging="1440"/>
      </w:pPr>
      <w:rPr>
        <w:rFonts w:hint="default"/>
      </w:rPr>
    </w:lvl>
  </w:abstractNum>
  <w:abstractNum w:abstractNumId="12" w15:restartNumberingAfterBreak="0">
    <w:nsid w:val="08BA6FD7"/>
    <w:multiLevelType w:val="hybridMultilevel"/>
    <w:tmpl w:val="DFB852A2"/>
    <w:lvl w:ilvl="0" w:tplc="27A0940A">
      <w:start w:val="1"/>
      <w:numFmt w:val="lowerRoman"/>
      <w:lvlText w:val="8.2.1.%1."/>
      <w:lvlJc w:val="right"/>
      <w:pPr>
        <w:ind w:left="720" w:hanging="360"/>
      </w:pPr>
      <w:rPr>
        <w:rFonts w:hint="default"/>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7C6D34"/>
    <w:multiLevelType w:val="hybridMultilevel"/>
    <w:tmpl w:val="B650988C"/>
    <w:lvl w:ilvl="0" w:tplc="D4520C54">
      <w:start w:val="1"/>
      <w:numFmt w:val="lowerRoman"/>
      <w:lvlText w:val="4.2.1.%1."/>
      <w:lvlJc w:val="right"/>
      <w:pPr>
        <w:ind w:left="720" w:hanging="360"/>
      </w:pPr>
      <w:rPr>
        <w:rFonts w:hint="default"/>
        <w:i w:val="0"/>
        <w:i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385672"/>
    <w:multiLevelType w:val="hybridMultilevel"/>
    <w:tmpl w:val="6D4EE248"/>
    <w:lvl w:ilvl="0" w:tplc="A76082FC">
      <w:start w:val="1"/>
      <w:numFmt w:val="lowerRoman"/>
      <w:lvlText w:val="1.2.1.%1."/>
      <w:lvlJc w:val="righ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6" w15:restartNumberingAfterBreak="0">
    <w:nsid w:val="148A29D9"/>
    <w:multiLevelType w:val="hybridMultilevel"/>
    <w:tmpl w:val="378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0912F5"/>
    <w:multiLevelType w:val="hybridMultilevel"/>
    <w:tmpl w:val="E80841FC"/>
    <w:lvl w:ilvl="0" w:tplc="EA6A8DAE">
      <w:start w:val="1"/>
      <w:numFmt w:val="lowerRoman"/>
      <w:lvlText w:val="11.2.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95107"/>
    <w:multiLevelType w:val="multilevel"/>
    <w:tmpl w:val="6804C432"/>
    <w:lvl w:ilvl="0">
      <w:start w:val="2"/>
      <w:numFmt w:val="decimal"/>
      <w:lvlText w:val="%1."/>
      <w:lvlJc w:val="left"/>
      <w:pPr>
        <w:ind w:left="360" w:hanging="360"/>
      </w:pPr>
      <w:rPr>
        <w:rFonts w:hint="default"/>
        <w:b/>
        <w:i w:val="0"/>
        <w:color w:val="auto"/>
      </w:rPr>
    </w:lvl>
    <w:lvl w:ilvl="1">
      <w:start w:val="1"/>
      <w:numFmt w:val="decimal"/>
      <w:lvlText w:val="%1.1"/>
      <w:lvlJc w:val="left"/>
      <w:pPr>
        <w:ind w:left="106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46F0073"/>
    <w:multiLevelType w:val="hybridMultilevel"/>
    <w:tmpl w:val="F22E6638"/>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A22741"/>
    <w:multiLevelType w:val="hybridMultilevel"/>
    <w:tmpl w:val="0ED664FA"/>
    <w:lvl w:ilvl="0" w:tplc="18E0CEAA">
      <w:start w:val="1"/>
      <w:numFmt w:val="lowerRoman"/>
      <w:lvlText w:val="13.1.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7697EDD"/>
    <w:multiLevelType w:val="hybridMultilevel"/>
    <w:tmpl w:val="38906EFC"/>
    <w:lvl w:ilvl="0" w:tplc="183CF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A6BC6"/>
    <w:multiLevelType w:val="hybridMultilevel"/>
    <w:tmpl w:val="D17C10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5C79F5"/>
    <w:multiLevelType w:val="hybridMultilevel"/>
    <w:tmpl w:val="C9123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45346D"/>
    <w:multiLevelType w:val="hybridMultilevel"/>
    <w:tmpl w:val="DDEC3C02"/>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40"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D42ED"/>
    <w:multiLevelType w:val="hybridMultilevel"/>
    <w:tmpl w:val="AEA203F2"/>
    <w:lvl w:ilvl="0" w:tplc="72186D54">
      <w:start w:val="1"/>
      <w:numFmt w:val="lowerRoman"/>
      <w:lvlText w:val="3.2.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A162C8"/>
    <w:multiLevelType w:val="hybridMultilevel"/>
    <w:tmpl w:val="E332926E"/>
    <w:lvl w:ilvl="0" w:tplc="0C2C6BA4">
      <w:start w:val="1"/>
      <w:numFmt w:val="lowerRoman"/>
      <w:lvlText w:val="2.2.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0"/>
  </w:num>
  <w:num w:numId="3">
    <w:abstractNumId w:val="21"/>
  </w:num>
  <w:num w:numId="4">
    <w:abstractNumId w:val="22"/>
  </w:num>
  <w:num w:numId="5">
    <w:abstractNumId w:val="42"/>
  </w:num>
  <w:num w:numId="6">
    <w:abstractNumId w:val="40"/>
  </w:num>
  <w:num w:numId="7">
    <w:abstractNumId w:val="17"/>
  </w:num>
  <w:num w:numId="8">
    <w:abstractNumId w:val="6"/>
  </w:num>
  <w:num w:numId="9">
    <w:abstractNumId w:val="5"/>
  </w:num>
  <w:num w:numId="10">
    <w:abstractNumId w:val="4"/>
  </w:num>
  <w:num w:numId="11">
    <w:abstractNumId w:val="7"/>
  </w:num>
  <w:num w:numId="12">
    <w:abstractNumId w:val="3"/>
  </w:num>
  <w:num w:numId="13">
    <w:abstractNumId w:val="2"/>
  </w:num>
  <w:num w:numId="14">
    <w:abstractNumId w:val="28"/>
  </w:num>
  <w:num w:numId="15">
    <w:abstractNumId w:val="15"/>
  </w:num>
  <w:num w:numId="16">
    <w:abstractNumId w:val="10"/>
  </w:num>
  <w:num w:numId="17">
    <w:abstractNumId w:val="25"/>
  </w:num>
  <w:num w:numId="18">
    <w:abstractNumId w:val="23"/>
  </w:num>
  <w:num w:numId="19">
    <w:abstractNumId w:val="37"/>
  </w:num>
  <w:num w:numId="20">
    <w:abstractNumId w:val="19"/>
  </w:num>
  <w:num w:numId="21">
    <w:abstractNumId w:val="30"/>
  </w:num>
  <w:num w:numId="22">
    <w:abstractNumId w:val="31"/>
  </w:num>
  <w:num w:numId="23">
    <w:abstractNumId w:val="26"/>
  </w:num>
  <w:num w:numId="24">
    <w:abstractNumId w:val="39"/>
  </w:num>
  <w:num w:numId="25">
    <w:abstractNumId w:val="36"/>
  </w:num>
  <w:num w:numId="26">
    <w:abstractNumId w:val="8"/>
  </w:num>
  <w:num w:numId="27">
    <w:abstractNumId w:val="1"/>
  </w:num>
  <w:num w:numId="28">
    <w:abstractNumId w:val="0"/>
  </w:num>
  <w:num w:numId="29">
    <w:abstractNumId w:val="7"/>
    <w:lvlOverride w:ilvl="0">
      <w:startOverride w:val="1"/>
    </w:lvlOverride>
  </w:num>
  <w:num w:numId="30">
    <w:abstractNumId w:val="36"/>
    <w:lvlOverride w:ilvl="0">
      <w:startOverride w:val="1"/>
    </w:lvlOverride>
  </w:num>
  <w:num w:numId="31">
    <w:abstractNumId w:val="36"/>
    <w:lvlOverride w:ilvl="0">
      <w:startOverride w:val="1"/>
    </w:lvlOverride>
  </w:num>
  <w:num w:numId="32">
    <w:abstractNumId w:val="36"/>
    <w:lvlOverride w:ilvl="0">
      <w:startOverride w:val="1"/>
    </w:lvlOverride>
  </w:num>
  <w:num w:numId="33">
    <w:abstractNumId w:val="36"/>
    <w:lvlOverride w:ilvl="0">
      <w:startOverride w:val="1"/>
    </w:lvlOverride>
  </w:num>
  <w:num w:numId="34">
    <w:abstractNumId w:val="36"/>
    <w:lvlOverride w:ilvl="0">
      <w:startOverride w:val="1"/>
    </w:lvlOverride>
  </w:num>
  <w:num w:numId="35">
    <w:abstractNumId w:val="33"/>
  </w:num>
  <w:num w:numId="36">
    <w:abstractNumId w:val="24"/>
  </w:num>
  <w:num w:numId="37">
    <w:abstractNumId w:val="11"/>
  </w:num>
  <w:num w:numId="38">
    <w:abstractNumId w:val="27"/>
  </w:num>
  <w:num w:numId="39">
    <w:abstractNumId w:val="14"/>
  </w:num>
  <w:num w:numId="40">
    <w:abstractNumId w:val="43"/>
  </w:num>
  <w:num w:numId="41">
    <w:abstractNumId w:val="41"/>
  </w:num>
  <w:num w:numId="42">
    <w:abstractNumId w:val="13"/>
  </w:num>
  <w:num w:numId="43">
    <w:abstractNumId w:val="9"/>
  </w:num>
  <w:num w:numId="44">
    <w:abstractNumId w:val="12"/>
  </w:num>
  <w:num w:numId="45">
    <w:abstractNumId w:val="18"/>
  </w:num>
  <w:num w:numId="46">
    <w:abstractNumId w:val="29"/>
  </w:num>
  <w:num w:numId="47">
    <w:abstractNumId w:val="38"/>
  </w:num>
  <w:num w:numId="48">
    <w:abstractNumId w:val="16"/>
  </w:num>
  <w:num w:numId="49">
    <w:abstractNumId w:val="35"/>
  </w:num>
  <w:num w:numId="5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sTQwMgMSpubmRko6SsGpxcWZ+XkgBUamtQADPWxGLQAAAA=="/>
  </w:docVars>
  <w:rsids>
    <w:rsidRoot w:val="005E7F56"/>
    <w:rsid w:val="00000897"/>
    <w:rsid w:val="00001766"/>
    <w:rsid w:val="000030B1"/>
    <w:rsid w:val="0000627C"/>
    <w:rsid w:val="00006ED7"/>
    <w:rsid w:val="000072FC"/>
    <w:rsid w:val="00010235"/>
    <w:rsid w:val="00010689"/>
    <w:rsid w:val="00010CEE"/>
    <w:rsid w:val="0001369C"/>
    <w:rsid w:val="000136EC"/>
    <w:rsid w:val="000150F7"/>
    <w:rsid w:val="0001528A"/>
    <w:rsid w:val="0001569E"/>
    <w:rsid w:val="0001587F"/>
    <w:rsid w:val="00015F6D"/>
    <w:rsid w:val="00016B08"/>
    <w:rsid w:val="00016D34"/>
    <w:rsid w:val="00017549"/>
    <w:rsid w:val="00020F67"/>
    <w:rsid w:val="000212FC"/>
    <w:rsid w:val="0002151F"/>
    <w:rsid w:val="00021D7B"/>
    <w:rsid w:val="000221F4"/>
    <w:rsid w:val="00022505"/>
    <w:rsid w:val="00022A0A"/>
    <w:rsid w:val="0002322B"/>
    <w:rsid w:val="000234AB"/>
    <w:rsid w:val="0002754E"/>
    <w:rsid w:val="00030E11"/>
    <w:rsid w:val="0003153C"/>
    <w:rsid w:val="000320C1"/>
    <w:rsid w:val="0003265D"/>
    <w:rsid w:val="00032E4E"/>
    <w:rsid w:val="000342E4"/>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402"/>
    <w:rsid w:val="00043B27"/>
    <w:rsid w:val="00044069"/>
    <w:rsid w:val="00044DD2"/>
    <w:rsid w:val="00046A1A"/>
    <w:rsid w:val="00047BDD"/>
    <w:rsid w:val="00047D5D"/>
    <w:rsid w:val="00050C43"/>
    <w:rsid w:val="00050C88"/>
    <w:rsid w:val="00052A32"/>
    <w:rsid w:val="00056BC1"/>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63BC"/>
    <w:rsid w:val="000777DB"/>
    <w:rsid w:val="00077878"/>
    <w:rsid w:val="00080A7F"/>
    <w:rsid w:val="00081356"/>
    <w:rsid w:val="000821DB"/>
    <w:rsid w:val="000834E0"/>
    <w:rsid w:val="00083A0A"/>
    <w:rsid w:val="00083CDE"/>
    <w:rsid w:val="00083FF8"/>
    <w:rsid w:val="000845AF"/>
    <w:rsid w:val="000855BD"/>
    <w:rsid w:val="00086066"/>
    <w:rsid w:val="00090441"/>
    <w:rsid w:val="000908DF"/>
    <w:rsid w:val="00091160"/>
    <w:rsid w:val="0009143A"/>
    <w:rsid w:val="00092241"/>
    <w:rsid w:val="00094195"/>
    <w:rsid w:val="000943C5"/>
    <w:rsid w:val="00095543"/>
    <w:rsid w:val="0009585C"/>
    <w:rsid w:val="00095E87"/>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EF9"/>
    <w:rsid w:val="000A7FB4"/>
    <w:rsid w:val="000B1D6B"/>
    <w:rsid w:val="000B25E1"/>
    <w:rsid w:val="000B521D"/>
    <w:rsid w:val="000B555A"/>
    <w:rsid w:val="000B64E9"/>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C8E"/>
    <w:rsid w:val="000D5E30"/>
    <w:rsid w:val="000D6D88"/>
    <w:rsid w:val="000D751A"/>
    <w:rsid w:val="000D7604"/>
    <w:rsid w:val="000E0694"/>
    <w:rsid w:val="000E06A9"/>
    <w:rsid w:val="000E1C2B"/>
    <w:rsid w:val="000E2169"/>
    <w:rsid w:val="000E2D16"/>
    <w:rsid w:val="000E4C3F"/>
    <w:rsid w:val="000E5219"/>
    <w:rsid w:val="000E531C"/>
    <w:rsid w:val="000E5F5A"/>
    <w:rsid w:val="000F197A"/>
    <w:rsid w:val="000F22CB"/>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040"/>
    <w:rsid w:val="00113CC8"/>
    <w:rsid w:val="001168E7"/>
    <w:rsid w:val="00116BD8"/>
    <w:rsid w:val="00117892"/>
    <w:rsid w:val="00120FD3"/>
    <w:rsid w:val="001215A9"/>
    <w:rsid w:val="00121F68"/>
    <w:rsid w:val="00122C2C"/>
    <w:rsid w:val="00123A87"/>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69C6"/>
    <w:rsid w:val="0013709C"/>
    <w:rsid w:val="00137AFA"/>
    <w:rsid w:val="00137B02"/>
    <w:rsid w:val="00140035"/>
    <w:rsid w:val="00142411"/>
    <w:rsid w:val="00144A6C"/>
    <w:rsid w:val="0014646C"/>
    <w:rsid w:val="0014674C"/>
    <w:rsid w:val="00146CE3"/>
    <w:rsid w:val="00147515"/>
    <w:rsid w:val="00147A74"/>
    <w:rsid w:val="001526E2"/>
    <w:rsid w:val="00154D18"/>
    <w:rsid w:val="00154DF1"/>
    <w:rsid w:val="0015529D"/>
    <w:rsid w:val="00155D06"/>
    <w:rsid w:val="00155EA2"/>
    <w:rsid w:val="00156212"/>
    <w:rsid w:val="0015713C"/>
    <w:rsid w:val="00157CA2"/>
    <w:rsid w:val="001605D5"/>
    <w:rsid w:val="00161B9D"/>
    <w:rsid w:val="00161DA5"/>
    <w:rsid w:val="00161F14"/>
    <w:rsid w:val="001649D5"/>
    <w:rsid w:val="00164BC2"/>
    <w:rsid w:val="0016651A"/>
    <w:rsid w:val="00166AD3"/>
    <w:rsid w:val="001711C1"/>
    <w:rsid w:val="00171E2D"/>
    <w:rsid w:val="00172A22"/>
    <w:rsid w:val="001739F1"/>
    <w:rsid w:val="0017416C"/>
    <w:rsid w:val="0017499B"/>
    <w:rsid w:val="00174E4D"/>
    <w:rsid w:val="00175356"/>
    <w:rsid w:val="001754FE"/>
    <w:rsid w:val="00176C98"/>
    <w:rsid w:val="00177107"/>
    <w:rsid w:val="00181AC8"/>
    <w:rsid w:val="00181D1C"/>
    <w:rsid w:val="00182CF1"/>
    <w:rsid w:val="00183600"/>
    <w:rsid w:val="0018379A"/>
    <w:rsid w:val="00184421"/>
    <w:rsid w:val="00184E72"/>
    <w:rsid w:val="00185CEF"/>
    <w:rsid w:val="00186C9D"/>
    <w:rsid w:val="001871ED"/>
    <w:rsid w:val="00191FD5"/>
    <w:rsid w:val="001921A4"/>
    <w:rsid w:val="0019248D"/>
    <w:rsid w:val="00192E41"/>
    <w:rsid w:val="001942A3"/>
    <w:rsid w:val="00194A0E"/>
    <w:rsid w:val="001969F1"/>
    <w:rsid w:val="00196E5A"/>
    <w:rsid w:val="00197503"/>
    <w:rsid w:val="0019769F"/>
    <w:rsid w:val="001A136E"/>
    <w:rsid w:val="001A1BDB"/>
    <w:rsid w:val="001A1D2C"/>
    <w:rsid w:val="001A2E81"/>
    <w:rsid w:val="001A3252"/>
    <w:rsid w:val="001A3781"/>
    <w:rsid w:val="001A5123"/>
    <w:rsid w:val="001A6C77"/>
    <w:rsid w:val="001A76FC"/>
    <w:rsid w:val="001B0369"/>
    <w:rsid w:val="001B0BA6"/>
    <w:rsid w:val="001B107D"/>
    <w:rsid w:val="001B1B81"/>
    <w:rsid w:val="001B1E5B"/>
    <w:rsid w:val="001B322A"/>
    <w:rsid w:val="001B3D1B"/>
    <w:rsid w:val="001B4842"/>
    <w:rsid w:val="001B5E5A"/>
    <w:rsid w:val="001B72EA"/>
    <w:rsid w:val="001B762F"/>
    <w:rsid w:val="001B78EA"/>
    <w:rsid w:val="001C031B"/>
    <w:rsid w:val="001C19D6"/>
    <w:rsid w:val="001C44FA"/>
    <w:rsid w:val="001C5EB8"/>
    <w:rsid w:val="001C6506"/>
    <w:rsid w:val="001C7FBE"/>
    <w:rsid w:val="001D20AA"/>
    <w:rsid w:val="001D3544"/>
    <w:rsid w:val="001D39AA"/>
    <w:rsid w:val="001D39EC"/>
    <w:rsid w:val="001D418D"/>
    <w:rsid w:val="001D4D6A"/>
    <w:rsid w:val="001D661F"/>
    <w:rsid w:val="001D6C97"/>
    <w:rsid w:val="001D71DF"/>
    <w:rsid w:val="001D7B65"/>
    <w:rsid w:val="001E0620"/>
    <w:rsid w:val="001E1B66"/>
    <w:rsid w:val="001E36F4"/>
    <w:rsid w:val="001E6246"/>
    <w:rsid w:val="001E6A60"/>
    <w:rsid w:val="001E6E5A"/>
    <w:rsid w:val="001E79E7"/>
    <w:rsid w:val="001F5515"/>
    <w:rsid w:val="001F571B"/>
    <w:rsid w:val="002000FB"/>
    <w:rsid w:val="002012DB"/>
    <w:rsid w:val="00201E7E"/>
    <w:rsid w:val="00203C28"/>
    <w:rsid w:val="00203E3B"/>
    <w:rsid w:val="00204AB9"/>
    <w:rsid w:val="00204B23"/>
    <w:rsid w:val="002050B7"/>
    <w:rsid w:val="0020747A"/>
    <w:rsid w:val="002075C7"/>
    <w:rsid w:val="00211FFA"/>
    <w:rsid w:val="00212527"/>
    <w:rsid w:val="00212610"/>
    <w:rsid w:val="00213DF6"/>
    <w:rsid w:val="002140C3"/>
    <w:rsid w:val="0021452A"/>
    <w:rsid w:val="00214E0B"/>
    <w:rsid w:val="00215C5A"/>
    <w:rsid w:val="00215E4D"/>
    <w:rsid w:val="002166BC"/>
    <w:rsid w:val="00217A31"/>
    <w:rsid w:val="00217FA0"/>
    <w:rsid w:val="002204CD"/>
    <w:rsid w:val="00221020"/>
    <w:rsid w:val="00221484"/>
    <w:rsid w:val="00222316"/>
    <w:rsid w:val="00224D9D"/>
    <w:rsid w:val="00225954"/>
    <w:rsid w:val="00225A35"/>
    <w:rsid w:val="00226D01"/>
    <w:rsid w:val="0022714B"/>
    <w:rsid w:val="002272CB"/>
    <w:rsid w:val="002273EC"/>
    <w:rsid w:val="00227E6B"/>
    <w:rsid w:val="00231607"/>
    <w:rsid w:val="00235205"/>
    <w:rsid w:val="00235D33"/>
    <w:rsid w:val="0023638D"/>
    <w:rsid w:val="00236484"/>
    <w:rsid w:val="00236894"/>
    <w:rsid w:val="0024194F"/>
    <w:rsid w:val="00243685"/>
    <w:rsid w:val="00245F71"/>
    <w:rsid w:val="00246468"/>
    <w:rsid w:val="002477BA"/>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6D3"/>
    <w:rsid w:val="00261A27"/>
    <w:rsid w:val="00264782"/>
    <w:rsid w:val="00265EFA"/>
    <w:rsid w:val="0026713B"/>
    <w:rsid w:val="0027000C"/>
    <w:rsid w:val="002707A2"/>
    <w:rsid w:val="00271C83"/>
    <w:rsid w:val="0027245E"/>
    <w:rsid w:val="00272B66"/>
    <w:rsid w:val="002733A4"/>
    <w:rsid w:val="00276031"/>
    <w:rsid w:val="00276353"/>
    <w:rsid w:val="00276403"/>
    <w:rsid w:val="0028039E"/>
    <w:rsid w:val="00280DC8"/>
    <w:rsid w:val="002817A6"/>
    <w:rsid w:val="002830E3"/>
    <w:rsid w:val="00283304"/>
    <w:rsid w:val="0028360E"/>
    <w:rsid w:val="00284837"/>
    <w:rsid w:val="00284896"/>
    <w:rsid w:val="002857D5"/>
    <w:rsid w:val="00286827"/>
    <w:rsid w:val="002869EF"/>
    <w:rsid w:val="00286FF2"/>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D73"/>
    <w:rsid w:val="002B4FB4"/>
    <w:rsid w:val="002B508A"/>
    <w:rsid w:val="002B50B6"/>
    <w:rsid w:val="002B532F"/>
    <w:rsid w:val="002B71CD"/>
    <w:rsid w:val="002B72E0"/>
    <w:rsid w:val="002B76AB"/>
    <w:rsid w:val="002B7C37"/>
    <w:rsid w:val="002C0508"/>
    <w:rsid w:val="002C0B37"/>
    <w:rsid w:val="002C0C0D"/>
    <w:rsid w:val="002C1507"/>
    <w:rsid w:val="002C240B"/>
    <w:rsid w:val="002C2601"/>
    <w:rsid w:val="002C3CA5"/>
    <w:rsid w:val="002C40A9"/>
    <w:rsid w:val="002C4BF2"/>
    <w:rsid w:val="002C4D1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10E"/>
    <w:rsid w:val="003079E9"/>
    <w:rsid w:val="00310CBE"/>
    <w:rsid w:val="00310F87"/>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2EA7"/>
    <w:rsid w:val="00323036"/>
    <w:rsid w:val="00323195"/>
    <w:rsid w:val="00324098"/>
    <w:rsid w:val="003250D8"/>
    <w:rsid w:val="00325FF2"/>
    <w:rsid w:val="00326958"/>
    <w:rsid w:val="003273C9"/>
    <w:rsid w:val="0033012A"/>
    <w:rsid w:val="003306EA"/>
    <w:rsid w:val="003308C3"/>
    <w:rsid w:val="003318E9"/>
    <w:rsid w:val="00331ADC"/>
    <w:rsid w:val="0033307A"/>
    <w:rsid w:val="00333857"/>
    <w:rsid w:val="0033626E"/>
    <w:rsid w:val="003363A9"/>
    <w:rsid w:val="003369A7"/>
    <w:rsid w:val="0033765D"/>
    <w:rsid w:val="00337684"/>
    <w:rsid w:val="00337766"/>
    <w:rsid w:val="00337D81"/>
    <w:rsid w:val="00341682"/>
    <w:rsid w:val="00342537"/>
    <w:rsid w:val="003426BF"/>
    <w:rsid w:val="00345556"/>
    <w:rsid w:val="003456F6"/>
    <w:rsid w:val="00345FBF"/>
    <w:rsid w:val="00346E5F"/>
    <w:rsid w:val="00346F07"/>
    <w:rsid w:val="00347636"/>
    <w:rsid w:val="003478DB"/>
    <w:rsid w:val="00347977"/>
    <w:rsid w:val="003502D0"/>
    <w:rsid w:val="00350B2A"/>
    <w:rsid w:val="0035368B"/>
    <w:rsid w:val="00353B8B"/>
    <w:rsid w:val="003545DB"/>
    <w:rsid w:val="0035526C"/>
    <w:rsid w:val="003556EF"/>
    <w:rsid w:val="00356594"/>
    <w:rsid w:val="003569CA"/>
    <w:rsid w:val="00357B5C"/>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774A1"/>
    <w:rsid w:val="00381437"/>
    <w:rsid w:val="00381D30"/>
    <w:rsid w:val="003822BC"/>
    <w:rsid w:val="00383AF2"/>
    <w:rsid w:val="00383D84"/>
    <w:rsid w:val="003845F2"/>
    <w:rsid w:val="003848C0"/>
    <w:rsid w:val="00384A00"/>
    <w:rsid w:val="00384E5E"/>
    <w:rsid w:val="0038698E"/>
    <w:rsid w:val="00387C3D"/>
    <w:rsid w:val="003921CA"/>
    <w:rsid w:val="00392614"/>
    <w:rsid w:val="00394544"/>
    <w:rsid w:val="003946B6"/>
    <w:rsid w:val="00394DAA"/>
    <w:rsid w:val="003954AE"/>
    <w:rsid w:val="00396406"/>
    <w:rsid w:val="003969F2"/>
    <w:rsid w:val="00396FD7"/>
    <w:rsid w:val="00397B3F"/>
    <w:rsid w:val="003A0C7A"/>
    <w:rsid w:val="003A0DAE"/>
    <w:rsid w:val="003A16DA"/>
    <w:rsid w:val="003A19CA"/>
    <w:rsid w:val="003A2970"/>
    <w:rsid w:val="003A3ADA"/>
    <w:rsid w:val="003A501E"/>
    <w:rsid w:val="003A63C1"/>
    <w:rsid w:val="003A67C3"/>
    <w:rsid w:val="003B11F7"/>
    <w:rsid w:val="003B1491"/>
    <w:rsid w:val="003B32AF"/>
    <w:rsid w:val="003B451B"/>
    <w:rsid w:val="003B4C48"/>
    <w:rsid w:val="003B5A8F"/>
    <w:rsid w:val="003B65A1"/>
    <w:rsid w:val="003B6EBB"/>
    <w:rsid w:val="003B7A1A"/>
    <w:rsid w:val="003C0204"/>
    <w:rsid w:val="003C06B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30C6"/>
    <w:rsid w:val="003E3505"/>
    <w:rsid w:val="003E418E"/>
    <w:rsid w:val="003E4F18"/>
    <w:rsid w:val="003E5A0C"/>
    <w:rsid w:val="003E5DBC"/>
    <w:rsid w:val="003E741D"/>
    <w:rsid w:val="003E7979"/>
    <w:rsid w:val="003F0DB6"/>
    <w:rsid w:val="003F1529"/>
    <w:rsid w:val="003F3340"/>
    <w:rsid w:val="003F4A95"/>
    <w:rsid w:val="003F4ADD"/>
    <w:rsid w:val="003F64A6"/>
    <w:rsid w:val="003F678A"/>
    <w:rsid w:val="003F7027"/>
    <w:rsid w:val="003F7387"/>
    <w:rsid w:val="003F7D6D"/>
    <w:rsid w:val="0040000C"/>
    <w:rsid w:val="0040054E"/>
    <w:rsid w:val="00400AC2"/>
    <w:rsid w:val="004019B4"/>
    <w:rsid w:val="0040320A"/>
    <w:rsid w:val="004043FA"/>
    <w:rsid w:val="00405454"/>
    <w:rsid w:val="00405CC3"/>
    <w:rsid w:val="00405FE5"/>
    <w:rsid w:val="00406704"/>
    <w:rsid w:val="00406760"/>
    <w:rsid w:val="00407BC4"/>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A48"/>
    <w:rsid w:val="00432C4E"/>
    <w:rsid w:val="004337A1"/>
    <w:rsid w:val="0043549F"/>
    <w:rsid w:val="00435539"/>
    <w:rsid w:val="00436919"/>
    <w:rsid w:val="00436B58"/>
    <w:rsid w:val="00436BEA"/>
    <w:rsid w:val="00436CFC"/>
    <w:rsid w:val="00437868"/>
    <w:rsid w:val="00440176"/>
    <w:rsid w:val="00440198"/>
    <w:rsid w:val="004406E3"/>
    <w:rsid w:val="00441B57"/>
    <w:rsid w:val="004429F3"/>
    <w:rsid w:val="0044335E"/>
    <w:rsid w:val="00444916"/>
    <w:rsid w:val="00445D94"/>
    <w:rsid w:val="00446C1B"/>
    <w:rsid w:val="00451B33"/>
    <w:rsid w:val="004533DB"/>
    <w:rsid w:val="0045369E"/>
    <w:rsid w:val="004538AF"/>
    <w:rsid w:val="00453CA5"/>
    <w:rsid w:val="00455627"/>
    <w:rsid w:val="00455D47"/>
    <w:rsid w:val="004579FE"/>
    <w:rsid w:val="0046209A"/>
    <w:rsid w:val="004620D9"/>
    <w:rsid w:val="004620FF"/>
    <w:rsid w:val="00462212"/>
    <w:rsid w:val="00464B61"/>
    <w:rsid w:val="00464B7F"/>
    <w:rsid w:val="00464BF8"/>
    <w:rsid w:val="004655C1"/>
    <w:rsid w:val="00465789"/>
    <w:rsid w:val="00465EAD"/>
    <w:rsid w:val="004662C5"/>
    <w:rsid w:val="00467686"/>
    <w:rsid w:val="00471EE5"/>
    <w:rsid w:val="004726AE"/>
    <w:rsid w:val="00472E39"/>
    <w:rsid w:val="0047458A"/>
    <w:rsid w:val="004749C2"/>
    <w:rsid w:val="0047529D"/>
    <w:rsid w:val="0047610C"/>
    <w:rsid w:val="00477C89"/>
    <w:rsid w:val="00477D80"/>
    <w:rsid w:val="00480779"/>
    <w:rsid w:val="00480A67"/>
    <w:rsid w:val="00483AB1"/>
    <w:rsid w:val="00483AF4"/>
    <w:rsid w:val="004862AF"/>
    <w:rsid w:val="004867C2"/>
    <w:rsid w:val="0049195D"/>
    <w:rsid w:val="00491AB9"/>
    <w:rsid w:val="00492D69"/>
    <w:rsid w:val="004934BE"/>
    <w:rsid w:val="0049383D"/>
    <w:rsid w:val="004945FF"/>
    <w:rsid w:val="00495D2D"/>
    <w:rsid w:val="00495DE3"/>
    <w:rsid w:val="00496E31"/>
    <w:rsid w:val="00496EDF"/>
    <w:rsid w:val="0049723D"/>
    <w:rsid w:val="004A0870"/>
    <w:rsid w:val="004A2DEA"/>
    <w:rsid w:val="004A3377"/>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2622"/>
    <w:rsid w:val="004C2DBD"/>
    <w:rsid w:val="004C37D2"/>
    <w:rsid w:val="004C4617"/>
    <w:rsid w:val="004C46F2"/>
    <w:rsid w:val="004C498B"/>
    <w:rsid w:val="004C58F6"/>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BC"/>
    <w:rsid w:val="004F36C4"/>
    <w:rsid w:val="004F426B"/>
    <w:rsid w:val="004F688E"/>
    <w:rsid w:val="004F6CC1"/>
    <w:rsid w:val="004F715B"/>
    <w:rsid w:val="004F773D"/>
    <w:rsid w:val="004F78AA"/>
    <w:rsid w:val="00500104"/>
    <w:rsid w:val="0050038C"/>
    <w:rsid w:val="005025EF"/>
    <w:rsid w:val="00504724"/>
    <w:rsid w:val="00504770"/>
    <w:rsid w:val="00505804"/>
    <w:rsid w:val="00505D46"/>
    <w:rsid w:val="00506F79"/>
    <w:rsid w:val="00507D47"/>
    <w:rsid w:val="00510612"/>
    <w:rsid w:val="00511D22"/>
    <w:rsid w:val="00512D1E"/>
    <w:rsid w:val="00513298"/>
    <w:rsid w:val="00514028"/>
    <w:rsid w:val="00514D43"/>
    <w:rsid w:val="00515157"/>
    <w:rsid w:val="00515443"/>
    <w:rsid w:val="00516C40"/>
    <w:rsid w:val="00517C6B"/>
    <w:rsid w:val="00520526"/>
    <w:rsid w:val="00521EAD"/>
    <w:rsid w:val="0052467D"/>
    <w:rsid w:val="00524C1C"/>
    <w:rsid w:val="005257EC"/>
    <w:rsid w:val="00526576"/>
    <w:rsid w:val="00526631"/>
    <w:rsid w:val="00526D08"/>
    <w:rsid w:val="0053051B"/>
    <w:rsid w:val="00530DA4"/>
    <w:rsid w:val="00531CE5"/>
    <w:rsid w:val="00533392"/>
    <w:rsid w:val="00533800"/>
    <w:rsid w:val="0053482F"/>
    <w:rsid w:val="005350B0"/>
    <w:rsid w:val="00535221"/>
    <w:rsid w:val="0053540D"/>
    <w:rsid w:val="005369CD"/>
    <w:rsid w:val="00537E01"/>
    <w:rsid w:val="005400FC"/>
    <w:rsid w:val="00540352"/>
    <w:rsid w:val="005403E8"/>
    <w:rsid w:val="00541B7F"/>
    <w:rsid w:val="005437C5"/>
    <w:rsid w:val="005439A6"/>
    <w:rsid w:val="00545349"/>
    <w:rsid w:val="00547150"/>
    <w:rsid w:val="0054746F"/>
    <w:rsid w:val="00550A98"/>
    <w:rsid w:val="00550DF2"/>
    <w:rsid w:val="00550E33"/>
    <w:rsid w:val="00551D48"/>
    <w:rsid w:val="00552E0D"/>
    <w:rsid w:val="00553439"/>
    <w:rsid w:val="005547CA"/>
    <w:rsid w:val="005552B9"/>
    <w:rsid w:val="00555F68"/>
    <w:rsid w:val="005576F8"/>
    <w:rsid w:val="00557AAA"/>
    <w:rsid w:val="005608FA"/>
    <w:rsid w:val="00560989"/>
    <w:rsid w:val="00560D9D"/>
    <w:rsid w:val="00561604"/>
    <w:rsid w:val="0056232A"/>
    <w:rsid w:val="00563C42"/>
    <w:rsid w:val="0056685F"/>
    <w:rsid w:val="00566962"/>
    <w:rsid w:val="00566C57"/>
    <w:rsid w:val="0057109C"/>
    <w:rsid w:val="005720EB"/>
    <w:rsid w:val="0057453B"/>
    <w:rsid w:val="0057528B"/>
    <w:rsid w:val="00580A6C"/>
    <w:rsid w:val="005837E2"/>
    <w:rsid w:val="0058515F"/>
    <w:rsid w:val="00585F60"/>
    <w:rsid w:val="005860D2"/>
    <w:rsid w:val="00586D96"/>
    <w:rsid w:val="00587466"/>
    <w:rsid w:val="005903AC"/>
    <w:rsid w:val="00591A61"/>
    <w:rsid w:val="00592360"/>
    <w:rsid w:val="00592471"/>
    <w:rsid w:val="005937EB"/>
    <w:rsid w:val="0059568C"/>
    <w:rsid w:val="00595FE7"/>
    <w:rsid w:val="005969EC"/>
    <w:rsid w:val="00597042"/>
    <w:rsid w:val="005970FF"/>
    <w:rsid w:val="005975FE"/>
    <w:rsid w:val="005A151B"/>
    <w:rsid w:val="005A1B02"/>
    <w:rsid w:val="005A22F7"/>
    <w:rsid w:val="005A2504"/>
    <w:rsid w:val="005A2943"/>
    <w:rsid w:val="005A42E8"/>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7ED"/>
    <w:rsid w:val="005C1ED1"/>
    <w:rsid w:val="005C2B6E"/>
    <w:rsid w:val="005C2E96"/>
    <w:rsid w:val="005C36A3"/>
    <w:rsid w:val="005C3CA9"/>
    <w:rsid w:val="005C3E29"/>
    <w:rsid w:val="005C4010"/>
    <w:rsid w:val="005C40D5"/>
    <w:rsid w:val="005C40E0"/>
    <w:rsid w:val="005C44A3"/>
    <w:rsid w:val="005C5000"/>
    <w:rsid w:val="005C59F7"/>
    <w:rsid w:val="005C6551"/>
    <w:rsid w:val="005C769D"/>
    <w:rsid w:val="005C7AA5"/>
    <w:rsid w:val="005D019B"/>
    <w:rsid w:val="005D15BA"/>
    <w:rsid w:val="005D1BB8"/>
    <w:rsid w:val="005D1DEB"/>
    <w:rsid w:val="005D267D"/>
    <w:rsid w:val="005D3846"/>
    <w:rsid w:val="005D469E"/>
    <w:rsid w:val="005D51C5"/>
    <w:rsid w:val="005D5D21"/>
    <w:rsid w:val="005D76B1"/>
    <w:rsid w:val="005E0516"/>
    <w:rsid w:val="005E05E4"/>
    <w:rsid w:val="005E0B04"/>
    <w:rsid w:val="005E0CF7"/>
    <w:rsid w:val="005E26DF"/>
    <w:rsid w:val="005E2B24"/>
    <w:rsid w:val="005E2B5A"/>
    <w:rsid w:val="005E2CC4"/>
    <w:rsid w:val="005E2D7A"/>
    <w:rsid w:val="005E422A"/>
    <w:rsid w:val="005E454D"/>
    <w:rsid w:val="005E4997"/>
    <w:rsid w:val="005E4ED2"/>
    <w:rsid w:val="005E57B4"/>
    <w:rsid w:val="005E7F56"/>
    <w:rsid w:val="005F28ED"/>
    <w:rsid w:val="005F38CB"/>
    <w:rsid w:val="005F4977"/>
    <w:rsid w:val="005F57A0"/>
    <w:rsid w:val="005F5DC1"/>
    <w:rsid w:val="005F62FF"/>
    <w:rsid w:val="005F6F8C"/>
    <w:rsid w:val="005F7ADD"/>
    <w:rsid w:val="005F7FEA"/>
    <w:rsid w:val="006001F5"/>
    <w:rsid w:val="006002E5"/>
    <w:rsid w:val="00600BB1"/>
    <w:rsid w:val="00602925"/>
    <w:rsid w:val="00602B8D"/>
    <w:rsid w:val="00603371"/>
    <w:rsid w:val="00603734"/>
    <w:rsid w:val="00605562"/>
    <w:rsid w:val="00605890"/>
    <w:rsid w:val="00606B26"/>
    <w:rsid w:val="006075CC"/>
    <w:rsid w:val="006102CB"/>
    <w:rsid w:val="00610914"/>
    <w:rsid w:val="00610C1A"/>
    <w:rsid w:val="00611B78"/>
    <w:rsid w:val="006128DF"/>
    <w:rsid w:val="0061294C"/>
    <w:rsid w:val="00614AE3"/>
    <w:rsid w:val="00615050"/>
    <w:rsid w:val="0061557F"/>
    <w:rsid w:val="00615C7C"/>
    <w:rsid w:val="00616421"/>
    <w:rsid w:val="00616DE6"/>
    <w:rsid w:val="00617071"/>
    <w:rsid w:val="00620A97"/>
    <w:rsid w:val="00620F11"/>
    <w:rsid w:val="00622372"/>
    <w:rsid w:val="0062270C"/>
    <w:rsid w:val="00623E13"/>
    <w:rsid w:val="006252C6"/>
    <w:rsid w:val="0062545D"/>
    <w:rsid w:val="00625508"/>
    <w:rsid w:val="00630443"/>
    <w:rsid w:val="006314E5"/>
    <w:rsid w:val="006329E3"/>
    <w:rsid w:val="00633570"/>
    <w:rsid w:val="006339C5"/>
    <w:rsid w:val="00633E77"/>
    <w:rsid w:val="00635973"/>
    <w:rsid w:val="00635B44"/>
    <w:rsid w:val="00635E91"/>
    <w:rsid w:val="00635F4A"/>
    <w:rsid w:val="0063644E"/>
    <w:rsid w:val="00636D6D"/>
    <w:rsid w:val="006371A1"/>
    <w:rsid w:val="0063781B"/>
    <w:rsid w:val="00637B5E"/>
    <w:rsid w:val="006404FF"/>
    <w:rsid w:val="00640B2A"/>
    <w:rsid w:val="00640C52"/>
    <w:rsid w:val="00642C43"/>
    <w:rsid w:val="00643C16"/>
    <w:rsid w:val="00645B8E"/>
    <w:rsid w:val="00645DD6"/>
    <w:rsid w:val="0064691B"/>
    <w:rsid w:val="006527F4"/>
    <w:rsid w:val="00652FED"/>
    <w:rsid w:val="0065714B"/>
    <w:rsid w:val="006574D3"/>
    <w:rsid w:val="006578A2"/>
    <w:rsid w:val="0066062F"/>
    <w:rsid w:val="00661A89"/>
    <w:rsid w:val="00661FB8"/>
    <w:rsid w:val="0066273C"/>
    <w:rsid w:val="00663D7A"/>
    <w:rsid w:val="00666F7E"/>
    <w:rsid w:val="00667CC9"/>
    <w:rsid w:val="00667D81"/>
    <w:rsid w:val="00671099"/>
    <w:rsid w:val="0067112C"/>
    <w:rsid w:val="0067358F"/>
    <w:rsid w:val="0067395C"/>
    <w:rsid w:val="0067430E"/>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A3"/>
    <w:rsid w:val="00693672"/>
    <w:rsid w:val="0069471D"/>
    <w:rsid w:val="006952EC"/>
    <w:rsid w:val="0069799C"/>
    <w:rsid w:val="00697E5B"/>
    <w:rsid w:val="006A01E7"/>
    <w:rsid w:val="006A025D"/>
    <w:rsid w:val="006A05B3"/>
    <w:rsid w:val="006A0BB4"/>
    <w:rsid w:val="006A465C"/>
    <w:rsid w:val="006A4FFC"/>
    <w:rsid w:val="006A5866"/>
    <w:rsid w:val="006A6D7D"/>
    <w:rsid w:val="006A73F8"/>
    <w:rsid w:val="006B0413"/>
    <w:rsid w:val="006B06A0"/>
    <w:rsid w:val="006B1180"/>
    <w:rsid w:val="006B2425"/>
    <w:rsid w:val="006B2483"/>
    <w:rsid w:val="006B24FB"/>
    <w:rsid w:val="006B4A6B"/>
    <w:rsid w:val="006B4E3F"/>
    <w:rsid w:val="006B566C"/>
    <w:rsid w:val="006B652D"/>
    <w:rsid w:val="006B6D4A"/>
    <w:rsid w:val="006C099E"/>
    <w:rsid w:val="006C133A"/>
    <w:rsid w:val="006C17D4"/>
    <w:rsid w:val="006C2620"/>
    <w:rsid w:val="006C2A00"/>
    <w:rsid w:val="006C3304"/>
    <w:rsid w:val="006C60B7"/>
    <w:rsid w:val="006C7076"/>
    <w:rsid w:val="006C742B"/>
    <w:rsid w:val="006C7956"/>
    <w:rsid w:val="006C7977"/>
    <w:rsid w:val="006D03BB"/>
    <w:rsid w:val="006D08E8"/>
    <w:rsid w:val="006D0B3E"/>
    <w:rsid w:val="006D21C0"/>
    <w:rsid w:val="006D21FF"/>
    <w:rsid w:val="006D3D09"/>
    <w:rsid w:val="006D3DC9"/>
    <w:rsid w:val="006D680C"/>
    <w:rsid w:val="006E1848"/>
    <w:rsid w:val="006E188F"/>
    <w:rsid w:val="006E3712"/>
    <w:rsid w:val="006E3944"/>
    <w:rsid w:val="006E3BD4"/>
    <w:rsid w:val="006E4164"/>
    <w:rsid w:val="006E4E51"/>
    <w:rsid w:val="006E5B0A"/>
    <w:rsid w:val="006E653D"/>
    <w:rsid w:val="006E7E08"/>
    <w:rsid w:val="006E7EFC"/>
    <w:rsid w:val="006F197E"/>
    <w:rsid w:val="006F244C"/>
    <w:rsid w:val="006F25E9"/>
    <w:rsid w:val="006F265F"/>
    <w:rsid w:val="006F2E75"/>
    <w:rsid w:val="006F3FEB"/>
    <w:rsid w:val="006F4AFC"/>
    <w:rsid w:val="006F4CBF"/>
    <w:rsid w:val="006F730C"/>
    <w:rsid w:val="006F73F3"/>
    <w:rsid w:val="00700DDD"/>
    <w:rsid w:val="00701CB6"/>
    <w:rsid w:val="00702CA7"/>
    <w:rsid w:val="00702EB1"/>
    <w:rsid w:val="00702F11"/>
    <w:rsid w:val="007031B1"/>
    <w:rsid w:val="007043FD"/>
    <w:rsid w:val="0070522D"/>
    <w:rsid w:val="007059C2"/>
    <w:rsid w:val="0070661C"/>
    <w:rsid w:val="00707736"/>
    <w:rsid w:val="00711B96"/>
    <w:rsid w:val="007126CA"/>
    <w:rsid w:val="00714DC4"/>
    <w:rsid w:val="00714F53"/>
    <w:rsid w:val="00714F54"/>
    <w:rsid w:val="00715A86"/>
    <w:rsid w:val="00715F5E"/>
    <w:rsid w:val="007166DA"/>
    <w:rsid w:val="00716DB7"/>
    <w:rsid w:val="00717DC2"/>
    <w:rsid w:val="00720243"/>
    <w:rsid w:val="007204B6"/>
    <w:rsid w:val="007222A0"/>
    <w:rsid w:val="00722B8F"/>
    <w:rsid w:val="00722E39"/>
    <w:rsid w:val="007236A9"/>
    <w:rsid w:val="0072387B"/>
    <w:rsid w:val="0072409B"/>
    <w:rsid w:val="00724C19"/>
    <w:rsid w:val="00724C83"/>
    <w:rsid w:val="00727D40"/>
    <w:rsid w:val="00727D80"/>
    <w:rsid w:val="007332C1"/>
    <w:rsid w:val="00733369"/>
    <w:rsid w:val="007337CF"/>
    <w:rsid w:val="007339E2"/>
    <w:rsid w:val="00735339"/>
    <w:rsid w:val="007356A8"/>
    <w:rsid w:val="007356BE"/>
    <w:rsid w:val="00737AD5"/>
    <w:rsid w:val="00737D75"/>
    <w:rsid w:val="00743B01"/>
    <w:rsid w:val="0074528A"/>
    <w:rsid w:val="0074753F"/>
    <w:rsid w:val="007518A9"/>
    <w:rsid w:val="007519F4"/>
    <w:rsid w:val="00751D56"/>
    <w:rsid w:val="0075488B"/>
    <w:rsid w:val="00755640"/>
    <w:rsid w:val="00755FCC"/>
    <w:rsid w:val="00756044"/>
    <w:rsid w:val="00756878"/>
    <w:rsid w:val="00756E06"/>
    <w:rsid w:val="00757B4B"/>
    <w:rsid w:val="00760831"/>
    <w:rsid w:val="007614D4"/>
    <w:rsid w:val="00761C9D"/>
    <w:rsid w:val="00761DA6"/>
    <w:rsid w:val="0076287B"/>
    <w:rsid w:val="00762A79"/>
    <w:rsid w:val="0076425E"/>
    <w:rsid w:val="00764A19"/>
    <w:rsid w:val="00765254"/>
    <w:rsid w:val="00767FDD"/>
    <w:rsid w:val="007700B1"/>
    <w:rsid w:val="00770FF8"/>
    <w:rsid w:val="007712DF"/>
    <w:rsid w:val="00771F36"/>
    <w:rsid w:val="00774030"/>
    <w:rsid w:val="00775B80"/>
    <w:rsid w:val="0077716D"/>
    <w:rsid w:val="00780ABA"/>
    <w:rsid w:val="00780B38"/>
    <w:rsid w:val="00781F52"/>
    <w:rsid w:val="007825D9"/>
    <w:rsid w:val="0078307E"/>
    <w:rsid w:val="007837E6"/>
    <w:rsid w:val="00783BF7"/>
    <w:rsid w:val="00784B25"/>
    <w:rsid w:val="00785381"/>
    <w:rsid w:val="00785C49"/>
    <w:rsid w:val="007864BA"/>
    <w:rsid w:val="00786CD1"/>
    <w:rsid w:val="00786D38"/>
    <w:rsid w:val="0078705B"/>
    <w:rsid w:val="00787CE7"/>
    <w:rsid w:val="007901F2"/>
    <w:rsid w:val="00790BDE"/>
    <w:rsid w:val="00790C2A"/>
    <w:rsid w:val="00793216"/>
    <w:rsid w:val="0079430F"/>
    <w:rsid w:val="00795782"/>
    <w:rsid w:val="00795EA5"/>
    <w:rsid w:val="007963EB"/>
    <w:rsid w:val="00797318"/>
    <w:rsid w:val="007973F5"/>
    <w:rsid w:val="00797613"/>
    <w:rsid w:val="007A1493"/>
    <w:rsid w:val="007A1FBB"/>
    <w:rsid w:val="007A251B"/>
    <w:rsid w:val="007A2C23"/>
    <w:rsid w:val="007A2D95"/>
    <w:rsid w:val="007A2E39"/>
    <w:rsid w:val="007A4712"/>
    <w:rsid w:val="007A4FD7"/>
    <w:rsid w:val="007A5028"/>
    <w:rsid w:val="007A5593"/>
    <w:rsid w:val="007A7494"/>
    <w:rsid w:val="007A7C48"/>
    <w:rsid w:val="007B09F7"/>
    <w:rsid w:val="007B0F0B"/>
    <w:rsid w:val="007B1192"/>
    <w:rsid w:val="007B1305"/>
    <w:rsid w:val="007B1E87"/>
    <w:rsid w:val="007B45CA"/>
    <w:rsid w:val="007B480D"/>
    <w:rsid w:val="007B4944"/>
    <w:rsid w:val="007B55E8"/>
    <w:rsid w:val="007B56E1"/>
    <w:rsid w:val="007B6BC1"/>
    <w:rsid w:val="007B717C"/>
    <w:rsid w:val="007C0174"/>
    <w:rsid w:val="007C2B84"/>
    <w:rsid w:val="007C306D"/>
    <w:rsid w:val="007C6B92"/>
    <w:rsid w:val="007C7719"/>
    <w:rsid w:val="007D08BD"/>
    <w:rsid w:val="007D0F98"/>
    <w:rsid w:val="007D11D6"/>
    <w:rsid w:val="007D153B"/>
    <w:rsid w:val="007D1AA4"/>
    <w:rsid w:val="007D1B14"/>
    <w:rsid w:val="007D276C"/>
    <w:rsid w:val="007D2AD5"/>
    <w:rsid w:val="007D50B7"/>
    <w:rsid w:val="007D5481"/>
    <w:rsid w:val="007D57BF"/>
    <w:rsid w:val="007D5A44"/>
    <w:rsid w:val="007D6AE7"/>
    <w:rsid w:val="007D6CFB"/>
    <w:rsid w:val="007E0767"/>
    <w:rsid w:val="007E1607"/>
    <w:rsid w:val="007E250B"/>
    <w:rsid w:val="007E2AEF"/>
    <w:rsid w:val="007E2C04"/>
    <w:rsid w:val="007E3339"/>
    <w:rsid w:val="007E4BDB"/>
    <w:rsid w:val="007E574B"/>
    <w:rsid w:val="007E5750"/>
    <w:rsid w:val="007E6923"/>
    <w:rsid w:val="007F0734"/>
    <w:rsid w:val="007F094C"/>
    <w:rsid w:val="007F1800"/>
    <w:rsid w:val="007F2667"/>
    <w:rsid w:val="007F5B09"/>
    <w:rsid w:val="007F67DB"/>
    <w:rsid w:val="007F7423"/>
    <w:rsid w:val="00801FB0"/>
    <w:rsid w:val="0080264C"/>
    <w:rsid w:val="008052B3"/>
    <w:rsid w:val="00805791"/>
    <w:rsid w:val="008059AC"/>
    <w:rsid w:val="008065F4"/>
    <w:rsid w:val="00806E56"/>
    <w:rsid w:val="00807D1C"/>
    <w:rsid w:val="008100DC"/>
    <w:rsid w:val="00811638"/>
    <w:rsid w:val="00811AAC"/>
    <w:rsid w:val="00811DC7"/>
    <w:rsid w:val="008121A5"/>
    <w:rsid w:val="008132D8"/>
    <w:rsid w:val="00813494"/>
    <w:rsid w:val="00814924"/>
    <w:rsid w:val="00814AE7"/>
    <w:rsid w:val="00815382"/>
    <w:rsid w:val="0081552D"/>
    <w:rsid w:val="00817D55"/>
    <w:rsid w:val="00820339"/>
    <w:rsid w:val="00821341"/>
    <w:rsid w:val="00821511"/>
    <w:rsid w:val="008220C7"/>
    <w:rsid w:val="00826389"/>
    <w:rsid w:val="00830296"/>
    <w:rsid w:val="00830378"/>
    <w:rsid w:val="00831A8E"/>
    <w:rsid w:val="008321D0"/>
    <w:rsid w:val="008323AA"/>
    <w:rsid w:val="00832756"/>
    <w:rsid w:val="00833B51"/>
    <w:rsid w:val="008374D6"/>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1BCC"/>
    <w:rsid w:val="008525E3"/>
    <w:rsid w:val="00852D7A"/>
    <w:rsid w:val="008533CD"/>
    <w:rsid w:val="008535C9"/>
    <w:rsid w:val="008540D9"/>
    <w:rsid w:val="00854CC7"/>
    <w:rsid w:val="00854FD1"/>
    <w:rsid w:val="008552D3"/>
    <w:rsid w:val="00855C5D"/>
    <w:rsid w:val="00856763"/>
    <w:rsid w:val="0086065C"/>
    <w:rsid w:val="00861991"/>
    <w:rsid w:val="00861B5B"/>
    <w:rsid w:val="00862429"/>
    <w:rsid w:val="0086422A"/>
    <w:rsid w:val="008656E7"/>
    <w:rsid w:val="00865AD4"/>
    <w:rsid w:val="00865E7D"/>
    <w:rsid w:val="00865E87"/>
    <w:rsid w:val="00866084"/>
    <w:rsid w:val="0086608E"/>
    <w:rsid w:val="00867722"/>
    <w:rsid w:val="00867D4E"/>
    <w:rsid w:val="00872A9C"/>
    <w:rsid w:val="00875FF2"/>
    <w:rsid w:val="00876CC9"/>
    <w:rsid w:val="00876D8D"/>
    <w:rsid w:val="0087754C"/>
    <w:rsid w:val="00877B02"/>
    <w:rsid w:val="008813AB"/>
    <w:rsid w:val="008816C0"/>
    <w:rsid w:val="0088174A"/>
    <w:rsid w:val="0088246A"/>
    <w:rsid w:val="00882E5C"/>
    <w:rsid w:val="008835B0"/>
    <w:rsid w:val="00883628"/>
    <w:rsid w:val="00883D8C"/>
    <w:rsid w:val="00884466"/>
    <w:rsid w:val="00884C49"/>
    <w:rsid w:val="00886363"/>
    <w:rsid w:val="008867EB"/>
    <w:rsid w:val="00887FE4"/>
    <w:rsid w:val="00890969"/>
    <w:rsid w:val="00891A0F"/>
    <w:rsid w:val="0089394B"/>
    <w:rsid w:val="00894F98"/>
    <w:rsid w:val="00895ABA"/>
    <w:rsid w:val="00895F6F"/>
    <w:rsid w:val="0089611E"/>
    <w:rsid w:val="00897391"/>
    <w:rsid w:val="00897B37"/>
    <w:rsid w:val="008A0724"/>
    <w:rsid w:val="008A0DB1"/>
    <w:rsid w:val="008A1353"/>
    <w:rsid w:val="008A180A"/>
    <w:rsid w:val="008A1ABB"/>
    <w:rsid w:val="008A47D0"/>
    <w:rsid w:val="008A4A37"/>
    <w:rsid w:val="008A4DB8"/>
    <w:rsid w:val="008A62DE"/>
    <w:rsid w:val="008A6D22"/>
    <w:rsid w:val="008A705A"/>
    <w:rsid w:val="008A723D"/>
    <w:rsid w:val="008B07B5"/>
    <w:rsid w:val="008B09D6"/>
    <w:rsid w:val="008B170C"/>
    <w:rsid w:val="008B2AEA"/>
    <w:rsid w:val="008B2BAC"/>
    <w:rsid w:val="008B37FE"/>
    <w:rsid w:val="008B41C9"/>
    <w:rsid w:val="008B4482"/>
    <w:rsid w:val="008B453C"/>
    <w:rsid w:val="008B4E7B"/>
    <w:rsid w:val="008B5ADA"/>
    <w:rsid w:val="008B5D18"/>
    <w:rsid w:val="008B6772"/>
    <w:rsid w:val="008B7940"/>
    <w:rsid w:val="008C0044"/>
    <w:rsid w:val="008C16FA"/>
    <w:rsid w:val="008C249E"/>
    <w:rsid w:val="008C2A21"/>
    <w:rsid w:val="008C372F"/>
    <w:rsid w:val="008C39E1"/>
    <w:rsid w:val="008C42DA"/>
    <w:rsid w:val="008C4DE4"/>
    <w:rsid w:val="008C5D23"/>
    <w:rsid w:val="008C5D52"/>
    <w:rsid w:val="008C64B5"/>
    <w:rsid w:val="008C792F"/>
    <w:rsid w:val="008D06AA"/>
    <w:rsid w:val="008D19C5"/>
    <w:rsid w:val="008D1C7B"/>
    <w:rsid w:val="008D2677"/>
    <w:rsid w:val="008D44AD"/>
    <w:rsid w:val="008D4B8E"/>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259"/>
    <w:rsid w:val="008F14AE"/>
    <w:rsid w:val="008F1A2F"/>
    <w:rsid w:val="008F2984"/>
    <w:rsid w:val="008F35DF"/>
    <w:rsid w:val="008F4205"/>
    <w:rsid w:val="008F4781"/>
    <w:rsid w:val="008F7311"/>
    <w:rsid w:val="008F7DA8"/>
    <w:rsid w:val="008F7E16"/>
    <w:rsid w:val="00900ECE"/>
    <w:rsid w:val="00901CA4"/>
    <w:rsid w:val="00903834"/>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0C2C"/>
    <w:rsid w:val="009210F2"/>
    <w:rsid w:val="00921DBE"/>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3BE"/>
    <w:rsid w:val="00940BA2"/>
    <w:rsid w:val="00941D38"/>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2F4"/>
    <w:rsid w:val="00967B6B"/>
    <w:rsid w:val="00970A65"/>
    <w:rsid w:val="00970B3E"/>
    <w:rsid w:val="00972C11"/>
    <w:rsid w:val="009760C5"/>
    <w:rsid w:val="009766F4"/>
    <w:rsid w:val="009767A3"/>
    <w:rsid w:val="00976BF5"/>
    <w:rsid w:val="00977817"/>
    <w:rsid w:val="00977CAE"/>
    <w:rsid w:val="00980C74"/>
    <w:rsid w:val="00981855"/>
    <w:rsid w:val="0098190D"/>
    <w:rsid w:val="00981FE2"/>
    <w:rsid w:val="00982052"/>
    <w:rsid w:val="00982410"/>
    <w:rsid w:val="009837A5"/>
    <w:rsid w:val="009839B2"/>
    <w:rsid w:val="00983BD8"/>
    <w:rsid w:val="00984515"/>
    <w:rsid w:val="0098466E"/>
    <w:rsid w:val="00985274"/>
    <w:rsid w:val="00985F51"/>
    <w:rsid w:val="00990E56"/>
    <w:rsid w:val="00991F32"/>
    <w:rsid w:val="0099200E"/>
    <w:rsid w:val="00994DBB"/>
    <w:rsid w:val="00995758"/>
    <w:rsid w:val="00995AE9"/>
    <w:rsid w:val="00995B57"/>
    <w:rsid w:val="00995D54"/>
    <w:rsid w:val="00995FBC"/>
    <w:rsid w:val="00996D30"/>
    <w:rsid w:val="00997425"/>
    <w:rsid w:val="009978B9"/>
    <w:rsid w:val="009A1CE9"/>
    <w:rsid w:val="009A2CE3"/>
    <w:rsid w:val="009A34A4"/>
    <w:rsid w:val="009A3547"/>
    <w:rsid w:val="009A38A7"/>
    <w:rsid w:val="009A40DC"/>
    <w:rsid w:val="009A485D"/>
    <w:rsid w:val="009A5344"/>
    <w:rsid w:val="009A5A51"/>
    <w:rsid w:val="009A5B76"/>
    <w:rsid w:val="009A62E3"/>
    <w:rsid w:val="009A7765"/>
    <w:rsid w:val="009B11C3"/>
    <w:rsid w:val="009B1937"/>
    <w:rsid w:val="009B2592"/>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1DB2"/>
    <w:rsid w:val="009D2212"/>
    <w:rsid w:val="009D361D"/>
    <w:rsid w:val="009D42A2"/>
    <w:rsid w:val="009D4563"/>
    <w:rsid w:val="009D4D05"/>
    <w:rsid w:val="009D523A"/>
    <w:rsid w:val="009D58E7"/>
    <w:rsid w:val="009D5A2E"/>
    <w:rsid w:val="009D6690"/>
    <w:rsid w:val="009E17DA"/>
    <w:rsid w:val="009E2179"/>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45A2"/>
    <w:rsid w:val="009F48D5"/>
    <w:rsid w:val="009F5E06"/>
    <w:rsid w:val="009F7B4E"/>
    <w:rsid w:val="009F7C3C"/>
    <w:rsid w:val="00A01047"/>
    <w:rsid w:val="00A02C6E"/>
    <w:rsid w:val="00A032C9"/>
    <w:rsid w:val="00A0412D"/>
    <w:rsid w:val="00A041C1"/>
    <w:rsid w:val="00A045AA"/>
    <w:rsid w:val="00A06422"/>
    <w:rsid w:val="00A064A6"/>
    <w:rsid w:val="00A06FEE"/>
    <w:rsid w:val="00A107AF"/>
    <w:rsid w:val="00A11D29"/>
    <w:rsid w:val="00A11DA8"/>
    <w:rsid w:val="00A127AB"/>
    <w:rsid w:val="00A136BB"/>
    <w:rsid w:val="00A13E2E"/>
    <w:rsid w:val="00A143A2"/>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70A"/>
    <w:rsid w:val="00A2490D"/>
    <w:rsid w:val="00A25328"/>
    <w:rsid w:val="00A25844"/>
    <w:rsid w:val="00A26E0C"/>
    <w:rsid w:val="00A270F8"/>
    <w:rsid w:val="00A30C7E"/>
    <w:rsid w:val="00A30FFA"/>
    <w:rsid w:val="00A311C2"/>
    <w:rsid w:val="00A31286"/>
    <w:rsid w:val="00A343A5"/>
    <w:rsid w:val="00A34958"/>
    <w:rsid w:val="00A366A9"/>
    <w:rsid w:val="00A3685A"/>
    <w:rsid w:val="00A3715B"/>
    <w:rsid w:val="00A37216"/>
    <w:rsid w:val="00A40FBE"/>
    <w:rsid w:val="00A4147C"/>
    <w:rsid w:val="00A4374B"/>
    <w:rsid w:val="00A4635B"/>
    <w:rsid w:val="00A469D3"/>
    <w:rsid w:val="00A46EFA"/>
    <w:rsid w:val="00A46F87"/>
    <w:rsid w:val="00A4771A"/>
    <w:rsid w:val="00A50C3A"/>
    <w:rsid w:val="00A5278D"/>
    <w:rsid w:val="00A529AB"/>
    <w:rsid w:val="00A56671"/>
    <w:rsid w:val="00A56E8B"/>
    <w:rsid w:val="00A60166"/>
    <w:rsid w:val="00A60379"/>
    <w:rsid w:val="00A6059F"/>
    <w:rsid w:val="00A606CF"/>
    <w:rsid w:val="00A60E94"/>
    <w:rsid w:val="00A61779"/>
    <w:rsid w:val="00A62554"/>
    <w:rsid w:val="00A66515"/>
    <w:rsid w:val="00A66A4E"/>
    <w:rsid w:val="00A66D86"/>
    <w:rsid w:val="00A70EF5"/>
    <w:rsid w:val="00A7122B"/>
    <w:rsid w:val="00A71716"/>
    <w:rsid w:val="00A73E40"/>
    <w:rsid w:val="00A73E64"/>
    <w:rsid w:val="00A7472C"/>
    <w:rsid w:val="00A74AFC"/>
    <w:rsid w:val="00A81CC8"/>
    <w:rsid w:val="00A81E86"/>
    <w:rsid w:val="00A8232C"/>
    <w:rsid w:val="00A85779"/>
    <w:rsid w:val="00A863A0"/>
    <w:rsid w:val="00A86760"/>
    <w:rsid w:val="00A8684E"/>
    <w:rsid w:val="00A8774A"/>
    <w:rsid w:val="00A900BC"/>
    <w:rsid w:val="00A90B5D"/>
    <w:rsid w:val="00A91332"/>
    <w:rsid w:val="00A91E60"/>
    <w:rsid w:val="00A92089"/>
    <w:rsid w:val="00A95B3C"/>
    <w:rsid w:val="00A960CD"/>
    <w:rsid w:val="00A96CD2"/>
    <w:rsid w:val="00A9733B"/>
    <w:rsid w:val="00AA1231"/>
    <w:rsid w:val="00AA174B"/>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64D7"/>
    <w:rsid w:val="00AB6CF4"/>
    <w:rsid w:val="00AB7AB9"/>
    <w:rsid w:val="00AB7DAD"/>
    <w:rsid w:val="00AC04C0"/>
    <w:rsid w:val="00AC1155"/>
    <w:rsid w:val="00AC25F1"/>
    <w:rsid w:val="00AC44C3"/>
    <w:rsid w:val="00AC4887"/>
    <w:rsid w:val="00AC4B69"/>
    <w:rsid w:val="00AC5EA5"/>
    <w:rsid w:val="00AC603E"/>
    <w:rsid w:val="00AC611B"/>
    <w:rsid w:val="00AC62B4"/>
    <w:rsid w:val="00AC71F2"/>
    <w:rsid w:val="00AC72B5"/>
    <w:rsid w:val="00AD0933"/>
    <w:rsid w:val="00AD2206"/>
    <w:rsid w:val="00AD24F3"/>
    <w:rsid w:val="00AD2E6C"/>
    <w:rsid w:val="00AD3751"/>
    <w:rsid w:val="00AD48BB"/>
    <w:rsid w:val="00AD610A"/>
    <w:rsid w:val="00AE189E"/>
    <w:rsid w:val="00AE3DBB"/>
    <w:rsid w:val="00AE5B62"/>
    <w:rsid w:val="00AE76F4"/>
    <w:rsid w:val="00AE7959"/>
    <w:rsid w:val="00AF0321"/>
    <w:rsid w:val="00AF0545"/>
    <w:rsid w:val="00AF096C"/>
    <w:rsid w:val="00AF122A"/>
    <w:rsid w:val="00AF1BF2"/>
    <w:rsid w:val="00AF213E"/>
    <w:rsid w:val="00AF3A81"/>
    <w:rsid w:val="00AF3E0B"/>
    <w:rsid w:val="00AF5AD8"/>
    <w:rsid w:val="00AF64EA"/>
    <w:rsid w:val="00AF7B42"/>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3C6F"/>
    <w:rsid w:val="00B242B8"/>
    <w:rsid w:val="00B2593D"/>
    <w:rsid w:val="00B260D7"/>
    <w:rsid w:val="00B2655F"/>
    <w:rsid w:val="00B30F06"/>
    <w:rsid w:val="00B324BD"/>
    <w:rsid w:val="00B325F4"/>
    <w:rsid w:val="00B326CD"/>
    <w:rsid w:val="00B331F4"/>
    <w:rsid w:val="00B33BD4"/>
    <w:rsid w:val="00B35F5B"/>
    <w:rsid w:val="00B36705"/>
    <w:rsid w:val="00B36DC0"/>
    <w:rsid w:val="00B42423"/>
    <w:rsid w:val="00B4412B"/>
    <w:rsid w:val="00B45465"/>
    <w:rsid w:val="00B45B86"/>
    <w:rsid w:val="00B4797D"/>
    <w:rsid w:val="00B508F9"/>
    <w:rsid w:val="00B5109B"/>
    <w:rsid w:val="00B518EB"/>
    <w:rsid w:val="00B52403"/>
    <w:rsid w:val="00B52D18"/>
    <w:rsid w:val="00B54262"/>
    <w:rsid w:val="00B548E2"/>
    <w:rsid w:val="00B57089"/>
    <w:rsid w:val="00B57616"/>
    <w:rsid w:val="00B57DCF"/>
    <w:rsid w:val="00B6037C"/>
    <w:rsid w:val="00B60B19"/>
    <w:rsid w:val="00B63046"/>
    <w:rsid w:val="00B6347C"/>
    <w:rsid w:val="00B6459C"/>
    <w:rsid w:val="00B64B69"/>
    <w:rsid w:val="00B64D50"/>
    <w:rsid w:val="00B65178"/>
    <w:rsid w:val="00B67F11"/>
    <w:rsid w:val="00B70475"/>
    <w:rsid w:val="00B713DB"/>
    <w:rsid w:val="00B71594"/>
    <w:rsid w:val="00B72988"/>
    <w:rsid w:val="00B72C2C"/>
    <w:rsid w:val="00B73D4C"/>
    <w:rsid w:val="00B740E4"/>
    <w:rsid w:val="00B74684"/>
    <w:rsid w:val="00B748EB"/>
    <w:rsid w:val="00B74927"/>
    <w:rsid w:val="00B74F38"/>
    <w:rsid w:val="00B7505F"/>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A94"/>
    <w:rsid w:val="00B921AA"/>
    <w:rsid w:val="00B93DE1"/>
    <w:rsid w:val="00B949A7"/>
    <w:rsid w:val="00B960BF"/>
    <w:rsid w:val="00B973C9"/>
    <w:rsid w:val="00B97B3F"/>
    <w:rsid w:val="00BA0343"/>
    <w:rsid w:val="00BA36B1"/>
    <w:rsid w:val="00BA3DD6"/>
    <w:rsid w:val="00BA49D0"/>
    <w:rsid w:val="00BA6AE5"/>
    <w:rsid w:val="00BA78D7"/>
    <w:rsid w:val="00BA79D9"/>
    <w:rsid w:val="00BB000E"/>
    <w:rsid w:val="00BB076D"/>
    <w:rsid w:val="00BB1396"/>
    <w:rsid w:val="00BB3F9C"/>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2C14"/>
    <w:rsid w:val="00BE2D70"/>
    <w:rsid w:val="00BE33C8"/>
    <w:rsid w:val="00BE46E2"/>
    <w:rsid w:val="00BE590A"/>
    <w:rsid w:val="00BE61F0"/>
    <w:rsid w:val="00BE6894"/>
    <w:rsid w:val="00BE7BD0"/>
    <w:rsid w:val="00BE7E07"/>
    <w:rsid w:val="00BF08C3"/>
    <w:rsid w:val="00BF0920"/>
    <w:rsid w:val="00BF1CB1"/>
    <w:rsid w:val="00BF1CE7"/>
    <w:rsid w:val="00BF39D4"/>
    <w:rsid w:val="00BF3F82"/>
    <w:rsid w:val="00BF5B09"/>
    <w:rsid w:val="00BF7326"/>
    <w:rsid w:val="00BF7690"/>
    <w:rsid w:val="00C0117E"/>
    <w:rsid w:val="00C01B00"/>
    <w:rsid w:val="00C03960"/>
    <w:rsid w:val="00C040E8"/>
    <w:rsid w:val="00C071D5"/>
    <w:rsid w:val="00C1333C"/>
    <w:rsid w:val="00C13383"/>
    <w:rsid w:val="00C138B9"/>
    <w:rsid w:val="00C139DD"/>
    <w:rsid w:val="00C14871"/>
    <w:rsid w:val="00C1763C"/>
    <w:rsid w:val="00C2165E"/>
    <w:rsid w:val="00C22C89"/>
    <w:rsid w:val="00C23866"/>
    <w:rsid w:val="00C24491"/>
    <w:rsid w:val="00C247F2"/>
    <w:rsid w:val="00C24D6A"/>
    <w:rsid w:val="00C2583C"/>
    <w:rsid w:val="00C2798C"/>
    <w:rsid w:val="00C3200A"/>
    <w:rsid w:val="00C34B4F"/>
    <w:rsid w:val="00C4007D"/>
    <w:rsid w:val="00C4068D"/>
    <w:rsid w:val="00C409BE"/>
    <w:rsid w:val="00C41170"/>
    <w:rsid w:val="00C4142C"/>
    <w:rsid w:val="00C41BD0"/>
    <w:rsid w:val="00C42ED6"/>
    <w:rsid w:val="00C44D41"/>
    <w:rsid w:val="00C45A45"/>
    <w:rsid w:val="00C45D90"/>
    <w:rsid w:val="00C466C8"/>
    <w:rsid w:val="00C46DC5"/>
    <w:rsid w:val="00C47A9D"/>
    <w:rsid w:val="00C50102"/>
    <w:rsid w:val="00C50508"/>
    <w:rsid w:val="00C50AC7"/>
    <w:rsid w:val="00C51094"/>
    <w:rsid w:val="00C52A39"/>
    <w:rsid w:val="00C536C6"/>
    <w:rsid w:val="00C537AA"/>
    <w:rsid w:val="00C5662D"/>
    <w:rsid w:val="00C5757F"/>
    <w:rsid w:val="00C5785F"/>
    <w:rsid w:val="00C57D24"/>
    <w:rsid w:val="00C622A4"/>
    <w:rsid w:val="00C62485"/>
    <w:rsid w:val="00C62837"/>
    <w:rsid w:val="00C6450B"/>
    <w:rsid w:val="00C648C6"/>
    <w:rsid w:val="00C651AB"/>
    <w:rsid w:val="00C673AC"/>
    <w:rsid w:val="00C67A63"/>
    <w:rsid w:val="00C73783"/>
    <w:rsid w:val="00C73961"/>
    <w:rsid w:val="00C747B5"/>
    <w:rsid w:val="00C7488A"/>
    <w:rsid w:val="00C749D7"/>
    <w:rsid w:val="00C74D8D"/>
    <w:rsid w:val="00C76B9C"/>
    <w:rsid w:val="00C80D6E"/>
    <w:rsid w:val="00C810FB"/>
    <w:rsid w:val="00C81555"/>
    <w:rsid w:val="00C8196A"/>
    <w:rsid w:val="00C81C15"/>
    <w:rsid w:val="00C81CE4"/>
    <w:rsid w:val="00C8204C"/>
    <w:rsid w:val="00C82077"/>
    <w:rsid w:val="00C820E1"/>
    <w:rsid w:val="00C82A82"/>
    <w:rsid w:val="00C83353"/>
    <w:rsid w:val="00C849F7"/>
    <w:rsid w:val="00C864ED"/>
    <w:rsid w:val="00C90816"/>
    <w:rsid w:val="00C90FA2"/>
    <w:rsid w:val="00C920BD"/>
    <w:rsid w:val="00C92705"/>
    <w:rsid w:val="00C93CB2"/>
    <w:rsid w:val="00C94B60"/>
    <w:rsid w:val="00C95148"/>
    <w:rsid w:val="00C971DE"/>
    <w:rsid w:val="00C97723"/>
    <w:rsid w:val="00CA0769"/>
    <w:rsid w:val="00CA1D74"/>
    <w:rsid w:val="00CA1E26"/>
    <w:rsid w:val="00CA1FFC"/>
    <w:rsid w:val="00CA24E3"/>
    <w:rsid w:val="00CA3E1E"/>
    <w:rsid w:val="00CA5BC4"/>
    <w:rsid w:val="00CA5CFA"/>
    <w:rsid w:val="00CA6471"/>
    <w:rsid w:val="00CA6B34"/>
    <w:rsid w:val="00CA73BC"/>
    <w:rsid w:val="00CA7F45"/>
    <w:rsid w:val="00CB0678"/>
    <w:rsid w:val="00CB176A"/>
    <w:rsid w:val="00CB1CB6"/>
    <w:rsid w:val="00CB2F97"/>
    <w:rsid w:val="00CB3193"/>
    <w:rsid w:val="00CB3552"/>
    <w:rsid w:val="00CB38F4"/>
    <w:rsid w:val="00CB4AFD"/>
    <w:rsid w:val="00CB5665"/>
    <w:rsid w:val="00CB5AC8"/>
    <w:rsid w:val="00CB6E83"/>
    <w:rsid w:val="00CB77C1"/>
    <w:rsid w:val="00CC05FF"/>
    <w:rsid w:val="00CC0A95"/>
    <w:rsid w:val="00CC0E68"/>
    <w:rsid w:val="00CC1B89"/>
    <w:rsid w:val="00CC2514"/>
    <w:rsid w:val="00CC2B56"/>
    <w:rsid w:val="00CC2FC2"/>
    <w:rsid w:val="00CC3E1F"/>
    <w:rsid w:val="00CC44F1"/>
    <w:rsid w:val="00CC5CB4"/>
    <w:rsid w:val="00CC5DBD"/>
    <w:rsid w:val="00CC6326"/>
    <w:rsid w:val="00CC6CF7"/>
    <w:rsid w:val="00CC7ACF"/>
    <w:rsid w:val="00CD0091"/>
    <w:rsid w:val="00CD0314"/>
    <w:rsid w:val="00CD0D49"/>
    <w:rsid w:val="00CD148B"/>
    <w:rsid w:val="00CD30C4"/>
    <w:rsid w:val="00CD3139"/>
    <w:rsid w:val="00CD78C8"/>
    <w:rsid w:val="00CE0D92"/>
    <w:rsid w:val="00CE25C7"/>
    <w:rsid w:val="00CE265A"/>
    <w:rsid w:val="00CE347E"/>
    <w:rsid w:val="00CE3541"/>
    <w:rsid w:val="00CE55BF"/>
    <w:rsid w:val="00CE5A12"/>
    <w:rsid w:val="00CE614C"/>
    <w:rsid w:val="00CE63C4"/>
    <w:rsid w:val="00CF2998"/>
    <w:rsid w:val="00CF429F"/>
    <w:rsid w:val="00CF5650"/>
    <w:rsid w:val="00CF6E72"/>
    <w:rsid w:val="00CF773F"/>
    <w:rsid w:val="00CF7C68"/>
    <w:rsid w:val="00CF7D26"/>
    <w:rsid w:val="00D002D4"/>
    <w:rsid w:val="00D00365"/>
    <w:rsid w:val="00D00AF8"/>
    <w:rsid w:val="00D0310F"/>
    <w:rsid w:val="00D03FC9"/>
    <w:rsid w:val="00D04B5A"/>
    <w:rsid w:val="00D04E5B"/>
    <w:rsid w:val="00D05881"/>
    <w:rsid w:val="00D0594F"/>
    <w:rsid w:val="00D05BD4"/>
    <w:rsid w:val="00D05E9E"/>
    <w:rsid w:val="00D0749C"/>
    <w:rsid w:val="00D10363"/>
    <w:rsid w:val="00D10755"/>
    <w:rsid w:val="00D12350"/>
    <w:rsid w:val="00D137D1"/>
    <w:rsid w:val="00D13A18"/>
    <w:rsid w:val="00D13F95"/>
    <w:rsid w:val="00D1436A"/>
    <w:rsid w:val="00D1475F"/>
    <w:rsid w:val="00D14A93"/>
    <w:rsid w:val="00D14BA0"/>
    <w:rsid w:val="00D150CB"/>
    <w:rsid w:val="00D154AE"/>
    <w:rsid w:val="00D15E8A"/>
    <w:rsid w:val="00D16B22"/>
    <w:rsid w:val="00D170E4"/>
    <w:rsid w:val="00D1716D"/>
    <w:rsid w:val="00D17BAD"/>
    <w:rsid w:val="00D20136"/>
    <w:rsid w:val="00D20575"/>
    <w:rsid w:val="00D206F1"/>
    <w:rsid w:val="00D20757"/>
    <w:rsid w:val="00D210A4"/>
    <w:rsid w:val="00D21444"/>
    <w:rsid w:val="00D22F15"/>
    <w:rsid w:val="00D23A03"/>
    <w:rsid w:val="00D23F7B"/>
    <w:rsid w:val="00D264C3"/>
    <w:rsid w:val="00D3011C"/>
    <w:rsid w:val="00D30483"/>
    <w:rsid w:val="00D307C9"/>
    <w:rsid w:val="00D30DCF"/>
    <w:rsid w:val="00D3178D"/>
    <w:rsid w:val="00D31F31"/>
    <w:rsid w:val="00D3206B"/>
    <w:rsid w:val="00D32D01"/>
    <w:rsid w:val="00D32E30"/>
    <w:rsid w:val="00D3381D"/>
    <w:rsid w:val="00D33843"/>
    <w:rsid w:val="00D339BF"/>
    <w:rsid w:val="00D3411D"/>
    <w:rsid w:val="00D343B9"/>
    <w:rsid w:val="00D348D1"/>
    <w:rsid w:val="00D3624D"/>
    <w:rsid w:val="00D36A2A"/>
    <w:rsid w:val="00D37AD2"/>
    <w:rsid w:val="00D37B98"/>
    <w:rsid w:val="00D426AD"/>
    <w:rsid w:val="00D42775"/>
    <w:rsid w:val="00D429AE"/>
    <w:rsid w:val="00D44594"/>
    <w:rsid w:val="00D44A26"/>
    <w:rsid w:val="00D4691D"/>
    <w:rsid w:val="00D46B60"/>
    <w:rsid w:val="00D46CC5"/>
    <w:rsid w:val="00D50222"/>
    <w:rsid w:val="00D50DC3"/>
    <w:rsid w:val="00D5241B"/>
    <w:rsid w:val="00D5361E"/>
    <w:rsid w:val="00D539DB"/>
    <w:rsid w:val="00D53E3B"/>
    <w:rsid w:val="00D541E7"/>
    <w:rsid w:val="00D57999"/>
    <w:rsid w:val="00D600BE"/>
    <w:rsid w:val="00D6022B"/>
    <w:rsid w:val="00D61468"/>
    <w:rsid w:val="00D62771"/>
    <w:rsid w:val="00D63059"/>
    <w:rsid w:val="00D67B2E"/>
    <w:rsid w:val="00D67E65"/>
    <w:rsid w:val="00D702C0"/>
    <w:rsid w:val="00D71080"/>
    <w:rsid w:val="00D71154"/>
    <w:rsid w:val="00D71B98"/>
    <w:rsid w:val="00D7233D"/>
    <w:rsid w:val="00D747A6"/>
    <w:rsid w:val="00D748B1"/>
    <w:rsid w:val="00D752CB"/>
    <w:rsid w:val="00D76336"/>
    <w:rsid w:val="00D77534"/>
    <w:rsid w:val="00D77EF0"/>
    <w:rsid w:val="00D83BA1"/>
    <w:rsid w:val="00D849EE"/>
    <w:rsid w:val="00D8540F"/>
    <w:rsid w:val="00D854D7"/>
    <w:rsid w:val="00D85759"/>
    <w:rsid w:val="00D864BC"/>
    <w:rsid w:val="00D8659F"/>
    <w:rsid w:val="00D868B1"/>
    <w:rsid w:val="00D91212"/>
    <w:rsid w:val="00D91773"/>
    <w:rsid w:val="00D91BC8"/>
    <w:rsid w:val="00D91E84"/>
    <w:rsid w:val="00D9439C"/>
    <w:rsid w:val="00D94702"/>
    <w:rsid w:val="00D9514E"/>
    <w:rsid w:val="00D95182"/>
    <w:rsid w:val="00D96BA6"/>
    <w:rsid w:val="00D96D5C"/>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1EF2"/>
    <w:rsid w:val="00DC1F96"/>
    <w:rsid w:val="00DC2044"/>
    <w:rsid w:val="00DC2710"/>
    <w:rsid w:val="00DC57DB"/>
    <w:rsid w:val="00DC64D0"/>
    <w:rsid w:val="00DC77A2"/>
    <w:rsid w:val="00DC7A7B"/>
    <w:rsid w:val="00DD003E"/>
    <w:rsid w:val="00DD053B"/>
    <w:rsid w:val="00DD202A"/>
    <w:rsid w:val="00DD2445"/>
    <w:rsid w:val="00DD2ADB"/>
    <w:rsid w:val="00DD3509"/>
    <w:rsid w:val="00DE061D"/>
    <w:rsid w:val="00DE0735"/>
    <w:rsid w:val="00DE0B86"/>
    <w:rsid w:val="00DE19EA"/>
    <w:rsid w:val="00DE1CB2"/>
    <w:rsid w:val="00DE222B"/>
    <w:rsid w:val="00DE4BDB"/>
    <w:rsid w:val="00DE4FC5"/>
    <w:rsid w:val="00DE59A6"/>
    <w:rsid w:val="00DE6175"/>
    <w:rsid w:val="00DE658D"/>
    <w:rsid w:val="00DE6C82"/>
    <w:rsid w:val="00DE770B"/>
    <w:rsid w:val="00DF2B65"/>
    <w:rsid w:val="00DF3111"/>
    <w:rsid w:val="00DF35D6"/>
    <w:rsid w:val="00DF3B4C"/>
    <w:rsid w:val="00DF4330"/>
    <w:rsid w:val="00DF43D6"/>
    <w:rsid w:val="00DF4F75"/>
    <w:rsid w:val="00DF5A17"/>
    <w:rsid w:val="00DF683E"/>
    <w:rsid w:val="00DF7006"/>
    <w:rsid w:val="00E006E2"/>
    <w:rsid w:val="00E01280"/>
    <w:rsid w:val="00E02289"/>
    <w:rsid w:val="00E03B42"/>
    <w:rsid w:val="00E03DB4"/>
    <w:rsid w:val="00E03E22"/>
    <w:rsid w:val="00E0428E"/>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4C35"/>
    <w:rsid w:val="00E253D5"/>
    <w:rsid w:val="00E25645"/>
    <w:rsid w:val="00E31818"/>
    <w:rsid w:val="00E31C6B"/>
    <w:rsid w:val="00E3317D"/>
    <w:rsid w:val="00E33ACF"/>
    <w:rsid w:val="00E361D2"/>
    <w:rsid w:val="00E371B7"/>
    <w:rsid w:val="00E37474"/>
    <w:rsid w:val="00E4054A"/>
    <w:rsid w:val="00E4096D"/>
    <w:rsid w:val="00E40ADE"/>
    <w:rsid w:val="00E419B5"/>
    <w:rsid w:val="00E41FF2"/>
    <w:rsid w:val="00E4225A"/>
    <w:rsid w:val="00E42570"/>
    <w:rsid w:val="00E4314D"/>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0387"/>
    <w:rsid w:val="00E60D72"/>
    <w:rsid w:val="00E62115"/>
    <w:rsid w:val="00E6337E"/>
    <w:rsid w:val="00E634EA"/>
    <w:rsid w:val="00E64671"/>
    <w:rsid w:val="00E64897"/>
    <w:rsid w:val="00E64DCA"/>
    <w:rsid w:val="00E65167"/>
    <w:rsid w:val="00E655FB"/>
    <w:rsid w:val="00E6629F"/>
    <w:rsid w:val="00E67484"/>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0AD5"/>
    <w:rsid w:val="00E81DAA"/>
    <w:rsid w:val="00E81F24"/>
    <w:rsid w:val="00E82A55"/>
    <w:rsid w:val="00E82AF6"/>
    <w:rsid w:val="00E83239"/>
    <w:rsid w:val="00E833AB"/>
    <w:rsid w:val="00E8362B"/>
    <w:rsid w:val="00E8480C"/>
    <w:rsid w:val="00E85D69"/>
    <w:rsid w:val="00E85F06"/>
    <w:rsid w:val="00E8625C"/>
    <w:rsid w:val="00E86EE1"/>
    <w:rsid w:val="00E87474"/>
    <w:rsid w:val="00E87484"/>
    <w:rsid w:val="00E87699"/>
    <w:rsid w:val="00E877DB"/>
    <w:rsid w:val="00E907AB"/>
    <w:rsid w:val="00E90DDC"/>
    <w:rsid w:val="00E9274D"/>
    <w:rsid w:val="00E949E4"/>
    <w:rsid w:val="00E96115"/>
    <w:rsid w:val="00E96D49"/>
    <w:rsid w:val="00E97688"/>
    <w:rsid w:val="00E97A54"/>
    <w:rsid w:val="00E97C26"/>
    <w:rsid w:val="00EA09FA"/>
    <w:rsid w:val="00EA103F"/>
    <w:rsid w:val="00EA1F2B"/>
    <w:rsid w:val="00EA21FD"/>
    <w:rsid w:val="00EA2F43"/>
    <w:rsid w:val="00EA3723"/>
    <w:rsid w:val="00EA37B4"/>
    <w:rsid w:val="00EA5841"/>
    <w:rsid w:val="00EA7592"/>
    <w:rsid w:val="00EA7ADD"/>
    <w:rsid w:val="00EB0240"/>
    <w:rsid w:val="00EB0B27"/>
    <w:rsid w:val="00EB0F2C"/>
    <w:rsid w:val="00EB10F6"/>
    <w:rsid w:val="00EB175C"/>
    <w:rsid w:val="00EB1F74"/>
    <w:rsid w:val="00EB2BE2"/>
    <w:rsid w:val="00EB302F"/>
    <w:rsid w:val="00EB3903"/>
    <w:rsid w:val="00EB459E"/>
    <w:rsid w:val="00EB63DC"/>
    <w:rsid w:val="00EB7A57"/>
    <w:rsid w:val="00EB7B14"/>
    <w:rsid w:val="00EC0400"/>
    <w:rsid w:val="00EC1162"/>
    <w:rsid w:val="00EC12C6"/>
    <w:rsid w:val="00EC1625"/>
    <w:rsid w:val="00EC1987"/>
    <w:rsid w:val="00EC1999"/>
    <w:rsid w:val="00EC1CC1"/>
    <w:rsid w:val="00EC22FC"/>
    <w:rsid w:val="00EC2C91"/>
    <w:rsid w:val="00EC3987"/>
    <w:rsid w:val="00EC442F"/>
    <w:rsid w:val="00EC45B0"/>
    <w:rsid w:val="00EC4A25"/>
    <w:rsid w:val="00ED0A7C"/>
    <w:rsid w:val="00ED31C1"/>
    <w:rsid w:val="00ED3863"/>
    <w:rsid w:val="00ED38BF"/>
    <w:rsid w:val="00ED526D"/>
    <w:rsid w:val="00ED634D"/>
    <w:rsid w:val="00ED6AF8"/>
    <w:rsid w:val="00EE11F8"/>
    <w:rsid w:val="00EE25F5"/>
    <w:rsid w:val="00EE2CBC"/>
    <w:rsid w:val="00EE3C1D"/>
    <w:rsid w:val="00EE3C47"/>
    <w:rsid w:val="00EE4ABD"/>
    <w:rsid w:val="00EE5540"/>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4F1"/>
    <w:rsid w:val="00F15763"/>
    <w:rsid w:val="00F1596D"/>
    <w:rsid w:val="00F177B9"/>
    <w:rsid w:val="00F219E2"/>
    <w:rsid w:val="00F220AC"/>
    <w:rsid w:val="00F22995"/>
    <w:rsid w:val="00F22A01"/>
    <w:rsid w:val="00F2315C"/>
    <w:rsid w:val="00F23FDE"/>
    <w:rsid w:val="00F318F6"/>
    <w:rsid w:val="00F326A0"/>
    <w:rsid w:val="00F32BC9"/>
    <w:rsid w:val="00F34043"/>
    <w:rsid w:val="00F35093"/>
    <w:rsid w:val="00F366AF"/>
    <w:rsid w:val="00F366FB"/>
    <w:rsid w:val="00F41FD3"/>
    <w:rsid w:val="00F4239F"/>
    <w:rsid w:val="00F43593"/>
    <w:rsid w:val="00F439F6"/>
    <w:rsid w:val="00F44272"/>
    <w:rsid w:val="00F44410"/>
    <w:rsid w:val="00F453A2"/>
    <w:rsid w:val="00F45533"/>
    <w:rsid w:val="00F45D13"/>
    <w:rsid w:val="00F50035"/>
    <w:rsid w:val="00F51B77"/>
    <w:rsid w:val="00F51F3E"/>
    <w:rsid w:val="00F553C3"/>
    <w:rsid w:val="00F567E2"/>
    <w:rsid w:val="00F57185"/>
    <w:rsid w:val="00F6063A"/>
    <w:rsid w:val="00F60738"/>
    <w:rsid w:val="00F60FBE"/>
    <w:rsid w:val="00F61242"/>
    <w:rsid w:val="00F619D2"/>
    <w:rsid w:val="00F6274E"/>
    <w:rsid w:val="00F63647"/>
    <w:rsid w:val="00F63CB5"/>
    <w:rsid w:val="00F6584B"/>
    <w:rsid w:val="00F66455"/>
    <w:rsid w:val="00F66DDE"/>
    <w:rsid w:val="00F673F9"/>
    <w:rsid w:val="00F67B6F"/>
    <w:rsid w:val="00F67D4B"/>
    <w:rsid w:val="00F70118"/>
    <w:rsid w:val="00F70F84"/>
    <w:rsid w:val="00F724DC"/>
    <w:rsid w:val="00F7501C"/>
    <w:rsid w:val="00F756FE"/>
    <w:rsid w:val="00F75802"/>
    <w:rsid w:val="00F770B2"/>
    <w:rsid w:val="00F80050"/>
    <w:rsid w:val="00F80A85"/>
    <w:rsid w:val="00F81B78"/>
    <w:rsid w:val="00F81C42"/>
    <w:rsid w:val="00F82993"/>
    <w:rsid w:val="00F83DB1"/>
    <w:rsid w:val="00F83EEC"/>
    <w:rsid w:val="00F84227"/>
    <w:rsid w:val="00F84488"/>
    <w:rsid w:val="00F84AFB"/>
    <w:rsid w:val="00F85145"/>
    <w:rsid w:val="00F85583"/>
    <w:rsid w:val="00F85B51"/>
    <w:rsid w:val="00F86634"/>
    <w:rsid w:val="00F86E99"/>
    <w:rsid w:val="00F878AA"/>
    <w:rsid w:val="00F90D55"/>
    <w:rsid w:val="00F9196F"/>
    <w:rsid w:val="00F91A8D"/>
    <w:rsid w:val="00F92064"/>
    <w:rsid w:val="00F9218C"/>
    <w:rsid w:val="00F92E74"/>
    <w:rsid w:val="00F93A13"/>
    <w:rsid w:val="00F94E17"/>
    <w:rsid w:val="00F957AF"/>
    <w:rsid w:val="00F97419"/>
    <w:rsid w:val="00FA03B3"/>
    <w:rsid w:val="00FA0D64"/>
    <w:rsid w:val="00FA0F17"/>
    <w:rsid w:val="00FA32F9"/>
    <w:rsid w:val="00FA3AD6"/>
    <w:rsid w:val="00FA46A1"/>
    <w:rsid w:val="00FA48BE"/>
    <w:rsid w:val="00FA5E83"/>
    <w:rsid w:val="00FA728D"/>
    <w:rsid w:val="00FA73CD"/>
    <w:rsid w:val="00FB0194"/>
    <w:rsid w:val="00FB0524"/>
    <w:rsid w:val="00FB2A68"/>
    <w:rsid w:val="00FB4FAB"/>
    <w:rsid w:val="00FB77E2"/>
    <w:rsid w:val="00FC008B"/>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198"/>
    <w:rsid w:val="00FD16C7"/>
    <w:rsid w:val="00FD1F7E"/>
    <w:rsid w:val="00FD2D04"/>
    <w:rsid w:val="00FD327B"/>
    <w:rsid w:val="00FD55CE"/>
    <w:rsid w:val="00FD5D05"/>
    <w:rsid w:val="00FD6544"/>
    <w:rsid w:val="00FD6D54"/>
    <w:rsid w:val="00FD70FD"/>
    <w:rsid w:val="00FD7163"/>
    <w:rsid w:val="00FD7ED2"/>
    <w:rsid w:val="00FE02D5"/>
    <w:rsid w:val="00FE1900"/>
    <w:rsid w:val="00FE1C9D"/>
    <w:rsid w:val="00FE2657"/>
    <w:rsid w:val="00FE2E8E"/>
    <w:rsid w:val="00FE3270"/>
    <w:rsid w:val="00FE32C2"/>
    <w:rsid w:val="00FE44E4"/>
    <w:rsid w:val="00FE480E"/>
    <w:rsid w:val="00FE5257"/>
    <w:rsid w:val="00FE5405"/>
    <w:rsid w:val="00FE74B2"/>
    <w:rsid w:val="00FE7DA9"/>
    <w:rsid w:val="00FF00EA"/>
    <w:rsid w:val="00FF02C2"/>
    <w:rsid w:val="00FF2616"/>
    <w:rsid w:val="00FF374D"/>
    <w:rsid w:val="00FF3E29"/>
    <w:rsid w:val="00FF4446"/>
    <w:rsid w:val="00FF4910"/>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FA63345"/>
  <w15:docId w15:val="{0C97B5C3-02DE-4D5A-8DE8-EE029B2C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9"/>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
    <w:qFormat/>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99"/>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99"/>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99"/>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9"/>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9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5"/>
      </w:numPr>
      <w:ind w:left="432" w:hanging="216"/>
      <w:textboxTightWrap w:val="allLines"/>
    </w:pPr>
  </w:style>
  <w:style w:type="paragraph" w:customStyle="1" w:styleId="TableListBullet">
    <w:name w:val="Table List Bullet"/>
    <w:basedOn w:val="TableTextLeft"/>
    <w:uiPriority w:val="1"/>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770FF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character" w:customStyle="1" w:styleId="ListParagraphChar">
    <w:name w:val="List Paragraph Char"/>
    <w:link w:val="ListParagraph"/>
    <w:uiPriority w:val="34"/>
    <w:locked/>
    <w:rsid w:val="00DE0B86"/>
    <w:rPr>
      <w:rFonts w:asciiTheme="minorHAnsi" w:eastAsia="Times New Roman" w:hAnsiTheme="minorHAnsi" w:cs="Times New Roman"/>
      <w:szCs w:val="20"/>
    </w:rPr>
  </w:style>
  <w:style w:type="table" w:customStyle="1" w:styleId="TableGrid21">
    <w:name w:val="Table Grid21"/>
    <w:basedOn w:val="TableNormal"/>
    <w:next w:val="TableGrid"/>
    <w:uiPriority w:val="99"/>
    <w:rsid w:val="00DE0B86"/>
    <w:pPr>
      <w:spacing w:after="0"/>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l">
    <w:name w:val="Table Heal"/>
    <w:basedOn w:val="Normal"/>
    <w:rsid w:val="005E0516"/>
    <w:pPr>
      <w:spacing w:before="60" w:after="60"/>
      <w:jc w:val="center"/>
    </w:pPr>
    <w:rPr>
      <w:b/>
      <w:color w:val="FFFFFF" w:themeColor="background1"/>
      <w:sz w:val="20"/>
    </w:rPr>
  </w:style>
  <w:style w:type="character" w:styleId="LineNumber">
    <w:name w:val="line number"/>
    <w:basedOn w:val="DefaultParagraphFont"/>
    <w:uiPriority w:val="99"/>
    <w:semiHidden/>
    <w:unhideWhenUsed/>
    <w:rsid w:val="003774A1"/>
  </w:style>
  <w:style w:type="paragraph" w:styleId="Revision">
    <w:name w:val="Revision"/>
    <w:hidden/>
    <w:uiPriority w:val="99"/>
    <w:semiHidden/>
    <w:rsid w:val="00A13E2E"/>
    <w:pPr>
      <w:spacing w:after="0"/>
    </w:pPr>
    <w:rPr>
      <w:rFonts w:asciiTheme="minorHAnsi" w:eastAsia="Times New Roman"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1846">
      <w:bodyDiv w:val="1"/>
      <w:marLeft w:val="0"/>
      <w:marRight w:val="0"/>
      <w:marTop w:val="0"/>
      <w:marBottom w:val="0"/>
      <w:divBdr>
        <w:top w:val="none" w:sz="0" w:space="0" w:color="auto"/>
        <w:left w:val="none" w:sz="0" w:space="0" w:color="auto"/>
        <w:bottom w:val="none" w:sz="0" w:space="0" w:color="auto"/>
        <w:right w:val="none" w:sz="0" w:space="0" w:color="auto"/>
      </w:divBdr>
    </w:div>
    <w:div w:id="228157891">
      <w:bodyDiv w:val="1"/>
      <w:marLeft w:val="0"/>
      <w:marRight w:val="0"/>
      <w:marTop w:val="0"/>
      <w:marBottom w:val="0"/>
      <w:divBdr>
        <w:top w:val="none" w:sz="0" w:space="0" w:color="auto"/>
        <w:left w:val="none" w:sz="0" w:space="0" w:color="auto"/>
        <w:bottom w:val="none" w:sz="0" w:space="0" w:color="auto"/>
        <w:right w:val="none" w:sz="0" w:space="0" w:color="auto"/>
      </w:divBdr>
    </w:div>
    <w:div w:id="234442385">
      <w:bodyDiv w:val="1"/>
      <w:marLeft w:val="0"/>
      <w:marRight w:val="0"/>
      <w:marTop w:val="0"/>
      <w:marBottom w:val="0"/>
      <w:divBdr>
        <w:top w:val="none" w:sz="0" w:space="0" w:color="auto"/>
        <w:left w:val="none" w:sz="0" w:space="0" w:color="auto"/>
        <w:bottom w:val="none" w:sz="0" w:space="0" w:color="auto"/>
        <w:right w:val="none" w:sz="0" w:space="0" w:color="auto"/>
      </w:divBdr>
    </w:div>
    <w:div w:id="340398945">
      <w:bodyDiv w:val="1"/>
      <w:marLeft w:val="0"/>
      <w:marRight w:val="0"/>
      <w:marTop w:val="0"/>
      <w:marBottom w:val="0"/>
      <w:divBdr>
        <w:top w:val="none" w:sz="0" w:space="0" w:color="auto"/>
        <w:left w:val="none" w:sz="0" w:space="0" w:color="auto"/>
        <w:bottom w:val="none" w:sz="0" w:space="0" w:color="auto"/>
        <w:right w:val="none" w:sz="0" w:space="0" w:color="auto"/>
      </w:divBdr>
    </w:div>
    <w:div w:id="442120159">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787164497">
      <w:bodyDiv w:val="1"/>
      <w:marLeft w:val="0"/>
      <w:marRight w:val="0"/>
      <w:marTop w:val="0"/>
      <w:marBottom w:val="0"/>
      <w:divBdr>
        <w:top w:val="none" w:sz="0" w:space="0" w:color="auto"/>
        <w:left w:val="none" w:sz="0" w:space="0" w:color="auto"/>
        <w:bottom w:val="none" w:sz="0" w:space="0" w:color="auto"/>
        <w:right w:val="none" w:sz="0" w:space="0" w:color="auto"/>
      </w:divBdr>
    </w:div>
    <w:div w:id="827406639">
      <w:bodyDiv w:val="1"/>
      <w:marLeft w:val="0"/>
      <w:marRight w:val="0"/>
      <w:marTop w:val="0"/>
      <w:marBottom w:val="0"/>
      <w:divBdr>
        <w:top w:val="none" w:sz="0" w:space="0" w:color="auto"/>
        <w:left w:val="none" w:sz="0" w:space="0" w:color="auto"/>
        <w:bottom w:val="none" w:sz="0" w:space="0" w:color="auto"/>
        <w:right w:val="none" w:sz="0" w:space="0" w:color="auto"/>
      </w:divBdr>
    </w:div>
    <w:div w:id="1036589180">
      <w:bodyDiv w:val="1"/>
      <w:marLeft w:val="0"/>
      <w:marRight w:val="0"/>
      <w:marTop w:val="0"/>
      <w:marBottom w:val="0"/>
      <w:divBdr>
        <w:top w:val="none" w:sz="0" w:space="0" w:color="auto"/>
        <w:left w:val="none" w:sz="0" w:space="0" w:color="auto"/>
        <w:bottom w:val="none" w:sz="0" w:space="0" w:color="auto"/>
        <w:right w:val="none" w:sz="0" w:space="0" w:color="auto"/>
      </w:divBdr>
    </w:div>
    <w:div w:id="1517302343">
      <w:bodyDiv w:val="1"/>
      <w:marLeft w:val="0"/>
      <w:marRight w:val="0"/>
      <w:marTop w:val="0"/>
      <w:marBottom w:val="0"/>
      <w:divBdr>
        <w:top w:val="none" w:sz="0" w:space="0" w:color="auto"/>
        <w:left w:val="none" w:sz="0" w:space="0" w:color="auto"/>
        <w:bottom w:val="none" w:sz="0" w:space="0" w:color="auto"/>
        <w:right w:val="none" w:sz="0" w:space="0" w:color="auto"/>
      </w:divBdr>
    </w:div>
    <w:div w:id="1586452367">
      <w:bodyDiv w:val="1"/>
      <w:marLeft w:val="0"/>
      <w:marRight w:val="0"/>
      <w:marTop w:val="0"/>
      <w:marBottom w:val="0"/>
      <w:divBdr>
        <w:top w:val="none" w:sz="0" w:space="0" w:color="auto"/>
        <w:left w:val="none" w:sz="0" w:space="0" w:color="auto"/>
        <w:bottom w:val="none" w:sz="0" w:space="0" w:color="auto"/>
        <w:right w:val="none" w:sz="0" w:space="0" w:color="auto"/>
      </w:divBdr>
    </w:div>
    <w:div w:id="1746105380">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 w:id="1832022696">
      <w:bodyDiv w:val="1"/>
      <w:marLeft w:val="0"/>
      <w:marRight w:val="0"/>
      <w:marTop w:val="0"/>
      <w:marBottom w:val="0"/>
      <w:divBdr>
        <w:top w:val="none" w:sz="0" w:space="0" w:color="auto"/>
        <w:left w:val="none" w:sz="0" w:space="0" w:color="auto"/>
        <w:bottom w:val="none" w:sz="0" w:space="0" w:color="auto"/>
        <w:right w:val="none" w:sz="0" w:space="0" w:color="auto"/>
      </w:divBdr>
    </w:div>
    <w:div w:id="20034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rwomack\AppData\Local\Microsoft\Windows\INetCache\Content.Outlook\542GL1PR\SUD_MonReportTemp.v3_Aug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8F8167148247D7B403719C7E6C647C"/>
        <w:category>
          <w:name w:val="General"/>
          <w:gallery w:val="placeholder"/>
        </w:category>
        <w:types>
          <w:type w:val="bbPlcHdr"/>
        </w:types>
        <w:behaviors>
          <w:behavior w:val="content"/>
        </w:behaviors>
        <w:guid w:val="{0A4EAC0A-B698-4748-A2DF-A524996514BD}"/>
      </w:docPartPr>
      <w:docPartBody>
        <w:p w:rsidR="00584BFB" w:rsidRDefault="00F95389" w:rsidP="00F95389">
          <w:pPr>
            <w:pStyle w:val="4E8F8167148247D7B403719C7E6C647C"/>
          </w:pPr>
          <w:r w:rsidRPr="00136252">
            <w:t>[</w:t>
          </w:r>
          <w:r w:rsidRPr="00136252">
            <w:rPr>
              <w:rStyle w:val="PlaceholderText"/>
            </w:rPr>
            <w:t>Local Operating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charset w:val="00"/>
    <w:family w:val="auto"/>
    <w:pitch w:val="variable"/>
    <w:sig w:usb0="00000001"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9"/>
    <w:rsid w:val="000B1E2C"/>
    <w:rsid w:val="00197427"/>
    <w:rsid w:val="002B05A3"/>
    <w:rsid w:val="0042685E"/>
    <w:rsid w:val="004A5AB4"/>
    <w:rsid w:val="0052436E"/>
    <w:rsid w:val="00584BFB"/>
    <w:rsid w:val="005B6FEA"/>
    <w:rsid w:val="00673596"/>
    <w:rsid w:val="006E7B06"/>
    <w:rsid w:val="00775DFA"/>
    <w:rsid w:val="007B1909"/>
    <w:rsid w:val="007E0A4F"/>
    <w:rsid w:val="008F387A"/>
    <w:rsid w:val="00A8678F"/>
    <w:rsid w:val="00A90FC4"/>
    <w:rsid w:val="00AD129F"/>
    <w:rsid w:val="00B76181"/>
    <w:rsid w:val="00BA2E69"/>
    <w:rsid w:val="00CB34BF"/>
    <w:rsid w:val="00CD0748"/>
    <w:rsid w:val="00D4599C"/>
    <w:rsid w:val="00E31BEF"/>
    <w:rsid w:val="00E67AA6"/>
    <w:rsid w:val="00EB7E86"/>
    <w:rsid w:val="00F9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389"/>
  </w:style>
  <w:style w:type="paragraph" w:customStyle="1" w:styleId="380DC6C43C9444B89E56BFBFEAF20B0B">
    <w:name w:val="380DC6C43C9444B89E56BFBFEAF20B0B"/>
  </w:style>
  <w:style w:type="paragraph" w:customStyle="1" w:styleId="71E9BBED5BAC4F28A1F982D608B4448F">
    <w:name w:val="71E9BBED5BAC4F28A1F982D608B4448F"/>
  </w:style>
  <w:style w:type="paragraph" w:customStyle="1" w:styleId="2F75490896B141B98C1D0211C6896A11">
    <w:name w:val="2F75490896B141B98C1D0211C6896A11"/>
    <w:rsid w:val="00F95389"/>
  </w:style>
  <w:style w:type="paragraph" w:customStyle="1" w:styleId="01CA2B5B97B442B1B62A3AEDCD0A3D90">
    <w:name w:val="01CA2B5B97B442B1B62A3AEDCD0A3D90"/>
    <w:rsid w:val="00F95389"/>
  </w:style>
  <w:style w:type="paragraph" w:customStyle="1" w:styleId="4D0AF708A83843CCBDFD05889195D773">
    <w:name w:val="4D0AF708A83843CCBDFD05889195D773"/>
    <w:rsid w:val="00F95389"/>
  </w:style>
  <w:style w:type="paragraph" w:customStyle="1" w:styleId="4E8F8167148247D7B403719C7E6C647C">
    <w:name w:val="4E8F8167148247D7B403719C7E6C647C"/>
    <w:rsid w:val="00F95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40EEC84D19344AF0B5CA38C42DFB1" ma:contentTypeVersion="0" ma:contentTypeDescription="Create a new document." ma:contentTypeScope="" ma:versionID="4b5947b9166506e0f9bb13aa441cfa5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EB906-8678-4F44-83A4-DA80E9EFE143}">
  <ds:schemaRefs>
    <ds:schemaRef ds:uri="http://schemas.microsoft.com/sharepoint/v3/contenttype/forms"/>
  </ds:schemaRefs>
</ds:datastoreItem>
</file>

<file path=customXml/itemProps2.xml><?xml version="1.0" encoding="utf-8"?>
<ds:datastoreItem xmlns:ds="http://schemas.openxmlformats.org/officeDocument/2006/customXml" ds:itemID="{073BFAE7-A4C8-4422-A0B7-001888B5C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B27509-5ED5-4003-A211-1E03DEFA84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4EA1DB7-767B-429C-B36C-9F9524CC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SUD_MonReportTemp.v3_Aug_2020</Template>
  <TotalTime>137</TotalTime>
  <Pages>19</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Section 1115 SUD Monitoring Report Template (Version 3.0)</vt:lpstr>
    </vt:vector>
  </TitlesOfParts>
  <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1115 SUD Monitoring Report Template (Version 3.0)</dc:title>
  <dc:subject>Substance Use Disorder Monitoring</dc:subject>
  <dc:creator>Missy Graves</dc:creator>
  <cp:keywords>Medicaid, substance use disorder, SUD, Monitoring, Report, Template, Section 1115</cp:keywords>
  <cp:lastModifiedBy>Keith Durham</cp:lastModifiedBy>
  <cp:revision>4</cp:revision>
  <cp:lastPrinted>2019-04-11T17:18:00Z</cp:lastPrinted>
  <dcterms:created xsi:type="dcterms:W3CDTF">2022-02-21T15:21:00Z</dcterms:created>
  <dcterms:modified xsi:type="dcterms:W3CDTF">2022-02-25T19:24:00Z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0x01010053040EEC84D19344AF0B5CA38C42DFB1</vt:lpwstr>
  </property>
</Properties>
</file>