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0320E3C9"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 xml:space="preserve">for STATE FORMULA GRANT PROGRAMS under the </w:t>
      </w:r>
      <w:r w:rsidR="009E3DEA">
        <w:rPr>
          <w:rFonts w:cs="Arial"/>
          <w:b/>
          <w:bCs/>
          <w:color w:val="000000" w:themeColor="text1"/>
          <w:sz w:val="24"/>
          <w:szCs w:val="24"/>
        </w:rPr>
        <w:br/>
      </w:r>
      <w:r w:rsidRPr="001071FD">
        <w:rPr>
          <w:rFonts w:cs="Arial"/>
          <w:b/>
          <w:bCs/>
          <w:color w:val="000000" w:themeColor="text1"/>
          <w:sz w:val="24"/>
          <w:szCs w:val="24"/>
        </w:rPr>
        <w:t>Individuals with Disabilities Education Act</w:t>
      </w:r>
    </w:p>
    <w:p w14:paraId="14238AAF" w14:textId="0E0D56E8"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w:t>
      </w:r>
      <w:r w:rsidR="00E44EC9">
        <w:rPr>
          <w:rFonts w:cs="Arial"/>
          <w:b/>
          <w:bCs/>
          <w:color w:val="000000" w:themeColor="text1"/>
          <w:sz w:val="28"/>
          <w:szCs w:val="28"/>
        </w:rPr>
        <w:t>3</w:t>
      </w:r>
      <w:bookmarkStart w:id="2" w:name="_GoBack"/>
      <w:bookmarkEnd w:id="2"/>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Louisiana</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13CBF0D9"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00B43A02">
        <w:rPr>
          <w:rFonts w:cs="Arial"/>
          <w:b/>
          <w:bCs/>
          <w:color w:val="000000" w:themeColor="text1"/>
          <w:sz w:val="24"/>
          <w:szCs w:val="24"/>
        </w:rPr>
        <w:t xml:space="preserve">February </w:t>
      </w:r>
      <w:r w:rsidR="00E32272">
        <w:rPr>
          <w:rFonts w:cs="Arial"/>
          <w:b/>
          <w:bCs/>
          <w:color w:val="000000" w:themeColor="text1"/>
          <w:sz w:val="24"/>
          <w:szCs w:val="24"/>
        </w:rPr>
        <w:t>3</w:t>
      </w:r>
      <w:r w:rsidR="00B43A02">
        <w:rPr>
          <w:rFonts w:cs="Arial"/>
          <w:b/>
          <w:bCs/>
          <w:color w:val="000000" w:themeColor="text1"/>
          <w:sz w:val="24"/>
          <w:szCs w:val="24"/>
        </w:rPr>
        <w:t>, 202</w:t>
      </w:r>
      <w:r w:rsidR="00E44EC9">
        <w:rPr>
          <w:rFonts w:cs="Arial"/>
          <w:b/>
          <w:bCs/>
          <w:color w:val="000000" w:themeColor="text1"/>
          <w:sz w:val="24"/>
          <w:szCs w:val="24"/>
        </w:rPr>
        <w:t>5</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2C9FB663" w:rsidR="00181DEB" w:rsidRPr="00ED172B" w:rsidRDefault="00F563DA" w:rsidP="00CD6E4E">
      <w:pPr>
        <w:pStyle w:val="Heading1"/>
        <w:tabs>
          <w:tab w:val="left" w:pos="8415"/>
        </w:tabs>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r w:rsidR="0073775B">
        <w:rPr>
          <w:color w:val="000000" w:themeColor="text1"/>
        </w:rPr>
        <w:tab/>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BC69656"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 xml:space="preserve">Provide sufficient detail to ensure that the Secretary and the public are informed of and understand the State’s systems designed to drive improved results for infants and toddlers with disabilities and their families and to ensure that the Lead Agency (LA) </w:t>
      </w:r>
      <w:r w:rsidR="000F5FCD">
        <w:rPr>
          <w:szCs w:val="16"/>
          <w:shd w:val="clear" w:color="auto" w:fill="FFFFFF"/>
        </w:rPr>
        <w:t xml:space="preserve">and early intervention service (EIS) providers and EIS programs </w:t>
      </w:r>
      <w:r w:rsidRPr="00ED172B">
        <w:rPr>
          <w:color w:val="000000" w:themeColor="text1"/>
          <w:szCs w:val="16"/>
          <w:shd w:val="clear" w:color="auto" w:fill="FFFFFF"/>
        </w:rPr>
        <w:t>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The Lead Agency (LA) for Louisiana's Early Intervention Program for Individuals with Disabilities Education Act (IDEA), Part C, is EarlySteps, which is administered by the Louisiana Department of Health (LDH), Office for Citizens with Developmental Disabilities (OCDD). Louisiana Part C service delivery system includes an administrative staff, contractors, and independent vendors. The following is an overview of Louisiana Part C infrastructure.</w:t>
      </w:r>
      <w:r w:rsidRPr="00ED172B">
        <w:rPr>
          <w:color w:val="000000" w:themeColor="text1"/>
        </w:rPr>
        <w:br/>
      </w:r>
      <w:r w:rsidRPr="00ED172B">
        <w:rPr>
          <w:color w:val="000000" w:themeColor="text1"/>
        </w:rPr>
        <w:br/>
        <w:t>EarlySteps has 13 full-time Part C staff who support the administration of Louisiana Early Intervention Program. Those 13 positions include: one Part C Coordinator/Program Manager, nine Regional Coordinators, one Contract Manager; one Data Manager, and a Professional Development Coordinator. Part C staff coordinate state-level activities; professional development and technical assistance; manage contracts; provide oversight for system implementation and assurance that federal and state requirements are met; and recommend system changes and improvements. The LA has undergone recent staffing changes. The Part C staff is diverse and represents the majority of the families in Louisiana early intervention. LA Part C staff is composed of 62% African American/Black and 38% White. The children and families served in EarlySteps are 43% African American/Black, 43% White and 14% other.</w:t>
      </w:r>
      <w:r w:rsidRPr="00ED172B">
        <w:rPr>
          <w:color w:val="000000" w:themeColor="text1"/>
        </w:rPr>
        <w:br/>
      </w:r>
      <w:r w:rsidRPr="00ED172B">
        <w:rPr>
          <w:color w:val="000000" w:themeColor="text1"/>
        </w:rPr>
        <w:br/>
        <w:t>The LA sectioned the State into ten geographical Regions. EarlySteps Regional Coordinators are responsible for ensuring IDEA Part C requirements; LDH/OCDD policies; and EarlySteps policies and practices are implemented within the Regions, respectively. The Regional Coordinators are responsible to identify training and technical assistance needs, recruit new providers and support providers with provider enrollment; and conduct child find activities. Other responsibilities of the Regional Coordinators include the oversight of EarlySteps general supervision policy and practice. Each Regional Coordinator manages a Regional Interagency Coordinating Council (RICC) for the assigned Region. Regional reports on activities and meetings are shared with the State Interagency Coordinating Council (SICC). The RICCs is one mechanism for sharing federal, state, and local updates relevant to IDEA Part C and other early childhood initiatives. Training and technical assistance are provide by the Part C Coordinator and Professional Development Coordinator.</w:t>
      </w:r>
      <w:r w:rsidRPr="00ED172B">
        <w:rPr>
          <w:color w:val="000000" w:themeColor="text1"/>
        </w:rPr>
        <w:br/>
      </w:r>
      <w:r w:rsidRPr="00ED172B">
        <w:rPr>
          <w:color w:val="000000" w:themeColor="text1"/>
        </w:rPr>
        <w:br/>
        <w:t xml:space="preserve">Referrals to EarlySteps are managed by the System Point of Entry Office (SPOE) for each Region. The SPOEs are contracted agencies responsible for the intake process, which includes: receiving referrals; assigning intake coordinators; ensuring families know their rights in early intervention; conducting screenings; gathering information, such as medical records; coordinating evaluation; assisting with eligibility determinations; developing the initial IFSPs for eligible children; and assisting with transition to ongoing support coordinators for continuous service coordination. </w:t>
      </w:r>
      <w:r w:rsidRPr="00ED172B">
        <w:rPr>
          <w:color w:val="000000" w:themeColor="text1"/>
        </w:rPr>
        <w:br/>
      </w:r>
      <w:r w:rsidRPr="00ED172B">
        <w:rPr>
          <w:color w:val="000000" w:themeColor="text1"/>
        </w:rPr>
        <w:br/>
        <w:t>EarlySteps Evaluators, Family Support Coordination agencies, direct services providers, and translators are independent vendors who support the LA with implementation of early intervention services. Evaluators are responsible for conducting timely evaluation to determine initial eligibility and annual re-determination of eligibility. Family Support Coordination agencies provide ongoing service coordination, after initial IFSPs have been completed through children exiting out of early intervention. Translation and interpretation services are provided as needed.</w:t>
      </w:r>
      <w:r w:rsidRPr="00ED172B">
        <w:rPr>
          <w:color w:val="000000" w:themeColor="text1"/>
        </w:rPr>
        <w:br/>
      </w:r>
      <w:r w:rsidRPr="00ED172B">
        <w:rPr>
          <w:color w:val="000000" w:themeColor="text1"/>
        </w:rPr>
        <w:br/>
        <w:t>EarlySteps has nine Community Outreach Specialists (COS) and one COS Parent Liaison contracted positions. The COSs contracts are with Families Helping Families agencies and Southeast Louisiana Area Health Education Center agencies throughout Louisiana. COSs are part-time and assigned based on Regions. The COS Parent Liaison is full-time and provides support statewide. COSs are parents or family members of children with disabilities. COSs provide parent-to-parent support; conduct public awareness activities; and support EarlySteps with data collection for Indicator 4: Family Involvement. The COS Parent Liaison assists with transition data for the State Education Agency and the Local Education Agency.</w:t>
      </w:r>
      <w:r w:rsidRPr="00ED172B">
        <w:rPr>
          <w:color w:val="000000" w:themeColor="text1"/>
        </w:rPr>
        <w:br/>
      </w:r>
      <w:r w:rsidRPr="00ED172B">
        <w:rPr>
          <w:color w:val="000000" w:themeColor="text1"/>
        </w:rPr>
        <w:br/>
        <w:t>EarlySteps contracts with Gainwell Technology to provide a data system. Gainwell is LA Part C Finance Office (CFO) contractor that maintains Louisiana's Early Intervention Data System (EIDS). The CFO oversees the data system support, provider enrollment and maintenance of the central service directory (service matrix), data reports, and claims processing and payments for services provided. Included in the CFO operations with Medicaid is a monthly eligibility verification batch file submission to Medicaid's fiscal intermediary to accurately identify Medicaid-eligible children so that the appropriate funding source can be billed for service delivery. EarlySteps Part C Coordinator and Data Manger work directly with the CFO to ensure data requirements are met.</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r w:rsidRPr="00ED172B">
        <w:rPr>
          <w:color w:val="000000" w:themeColor="text1"/>
        </w:rPr>
        <w:t>Data collected for this APR varied across each indicator. The following procedures were used:</w:t>
      </w:r>
      <w:r w:rsidRPr="00ED172B">
        <w:rPr>
          <w:color w:val="000000" w:themeColor="text1"/>
        </w:rPr>
        <w:br/>
        <w:t>• Desk audits from the central data system reports;</w:t>
      </w:r>
      <w:r w:rsidRPr="00ED172B">
        <w:rPr>
          <w:color w:val="000000" w:themeColor="text1"/>
        </w:rPr>
        <w:br/>
        <w:t>• Data review supported by agency chart review using state-developed protocols;</w:t>
      </w:r>
      <w:r w:rsidRPr="00ED172B">
        <w:rPr>
          <w:color w:val="000000" w:themeColor="text1"/>
        </w:rPr>
        <w:br/>
        <w:t>• Self-assessments and monthly reporting conducted by System Point of Entry agencies;</w:t>
      </w:r>
      <w:r w:rsidRPr="00ED172B">
        <w:rPr>
          <w:color w:val="000000" w:themeColor="text1"/>
        </w:rPr>
        <w:br/>
        <w:t>• Technical assistance and on-site follow-up monitoring by Regional Coordinators;</w:t>
      </w:r>
      <w:r w:rsidRPr="00ED172B">
        <w:rPr>
          <w:color w:val="000000" w:themeColor="text1"/>
        </w:rPr>
        <w:br/>
        <w:t>• Family Surveys collected by Community Outreach Specialists (Parent-to-Parent Liaisons); and</w:t>
      </w:r>
      <w:r w:rsidRPr="00ED172B">
        <w:rPr>
          <w:color w:val="000000" w:themeColor="text1"/>
        </w:rPr>
        <w:br/>
        <w:t xml:space="preserve">• Complaint investigations. </w:t>
      </w:r>
      <w:r w:rsidRPr="00ED172B">
        <w:rPr>
          <w:color w:val="000000" w:themeColor="text1"/>
        </w:rPr>
        <w:br/>
      </w:r>
      <w:r w:rsidRPr="00ED172B">
        <w:rPr>
          <w:color w:val="000000" w:themeColor="text1"/>
        </w:rPr>
        <w:br/>
        <w:t>More information about specific data collection procedure for each indicator is provided in the appropriate indicator sections included in this report.</w:t>
      </w:r>
    </w:p>
    <w:p w14:paraId="255BEFE2" w14:textId="0EBDC8B7" w:rsidR="00181DEB" w:rsidRPr="00ED172B" w:rsidRDefault="00181DEB">
      <w:pPr>
        <w:rPr>
          <w:b/>
          <w:color w:val="000000" w:themeColor="text1"/>
        </w:rPr>
      </w:pPr>
      <w:r w:rsidRPr="00ED172B">
        <w:rPr>
          <w:b/>
          <w:color w:val="000000" w:themeColor="text1"/>
        </w:rPr>
        <w:t>General Supervision System</w:t>
      </w:r>
    </w:p>
    <w:p w14:paraId="71F4BDA2" w14:textId="2BD0D6DF" w:rsidR="00B717AA" w:rsidRPr="00ED172B" w:rsidRDefault="00492B6F" w:rsidP="00042EBF">
      <w:pPr>
        <w:rPr>
          <w:b/>
          <w:color w:val="000000" w:themeColor="text1"/>
          <w:szCs w:val="16"/>
        </w:rPr>
      </w:pPr>
      <w:r>
        <w:rPr>
          <w:szCs w:val="16"/>
        </w:rPr>
        <w:t>The systems that are in place to ensure that the IDEA Part C requirements are met (e.g., integrated monitoring activities; data on processes and results; the SPP/APR; fiscal management; policies, procedures, and practices resulting in effective implementation; and improvement, correction, incentives, and sanctions). Include a description of all the mechanisms the State uses to identify and verify correction of noncompliance and improve results. This should include, but not be limited to, State monitoring, State database/data system, dispute resolution, fiscal management systems as well as other mechanisms through which the State is able to determine compliance and/or issue written findings of noncompliance. The State should include the following elements:</w:t>
      </w:r>
    </w:p>
    <w:p w14:paraId="7523B8B2" w14:textId="77777777" w:rsidR="00A775F4" w:rsidRPr="00A32E08" w:rsidRDefault="00A775F4" w:rsidP="00A32E08">
      <w:pPr>
        <w:rPr>
          <w:b/>
          <w:bCs/>
        </w:rPr>
      </w:pPr>
      <w:r w:rsidRPr="00A32E08">
        <w:rPr>
          <w:b/>
          <w:bCs/>
        </w:rPr>
        <w:t>Describe the process the State uses to select EIS providers and/or EIS programs for monitoring, the schedule, and number of EIS providers/programs monitored per year.</w:t>
      </w:r>
    </w:p>
    <w:p w14:paraId="1FE3E807" w14:textId="7DE4DE1E" w:rsidR="00A775F4" w:rsidRPr="00E74450" w:rsidRDefault="00A775F4" w:rsidP="005E1362">
      <w:pPr>
        <w:rPr>
          <w:bCs/>
        </w:rPr>
      </w:pPr>
      <w:r w:rsidRPr="00E74450">
        <w:rPr>
          <w:bCs/>
        </w:rPr>
        <w:t>For this reporting period, the System Point of Entry (SPOE) agencies and Family Support Coordination (FSC) agencies were monitored. There are 10 SPOE agencies and 29 FSC agencies. All are monitored annually. EarlySteps monitoring is based on the SPP/APR indicators.</w:t>
      </w:r>
    </w:p>
    <w:p w14:paraId="4FF4FCD0" w14:textId="77777777" w:rsidR="00A775F4" w:rsidRPr="00A32E08" w:rsidRDefault="00A775F4" w:rsidP="00A32E08">
      <w:pPr>
        <w:rPr>
          <w:b/>
          <w:bCs/>
        </w:rPr>
      </w:pPr>
      <w:r w:rsidRPr="00A32E08">
        <w:rPr>
          <w:b/>
          <w:bCs/>
        </w:rPr>
        <w:lastRenderedPageBreak/>
        <w:t>Describe how child records are chosen, including the number of child records that are selected, as part of the State’s process for determining an EIS provider’s and EIS program’s compliance with IDEA requirements and verifying the EIS provider/program’s correction of any identified compliance.</w:t>
      </w:r>
    </w:p>
    <w:p w14:paraId="2ACFB732" w14:textId="2122DE34" w:rsidR="00A775F4" w:rsidRPr="00E74450" w:rsidRDefault="00A775F4" w:rsidP="005E1362">
      <w:pPr>
        <w:rPr>
          <w:bCs/>
        </w:rPr>
      </w:pPr>
      <w:r w:rsidRPr="00E74450">
        <w:rPr>
          <w:bCs/>
        </w:rPr>
        <w:t>Indicator 1: Louisiana collected and analyzed data from the state's database.  The time period for data analysis was July 1, 2023 through September 30, 2023, the first quarter of Fiscal Year 2023, for all IFSPs written. Data collected for this indicator is accurate and valid as it was collected from all 32- Family Support Coordination (FSC) agencies for all infants and toddlers for whom IFSPs were developed in the first quarter of fiscal year 2023 – 2024.</w:t>
      </w:r>
      <w:r w:rsidRPr="00E74450">
        <w:rPr>
          <w:bCs/>
        </w:rPr>
        <w:br/>
        <w:t>Indicator 3: The Battelle Developmental Inventory, 2nd edition (BDI-2) is the statewide tool used for eligibility determination and outcome reporting. During the eligibility determination process, the BDI-2 is administered and results are entered into EIDS. Subsequently, at annual eligibility determination and/or exit, the BDI-2 is re-administered and the new results entered. The data system uses the formula provided in the previous section to calculate results for each child who has been in the system for at least 6 months. Louisiana received a data completeness score of 1 on the results matrix due to the percentage of exit scores available compared to national data. Improvement activities are underway to increase the number of entry to exit scores available. Complete entry and exit scores were collected on 2,965 children for the 2023-24 reporting period using the measurement method.</w:t>
      </w:r>
      <w:r w:rsidRPr="00E74450">
        <w:rPr>
          <w:bCs/>
        </w:rPr>
        <w:br/>
        <w:t>Indicator 7: Data used for this indicator was the full reporting period July 1, 2023 - June 30. 2024. The EIDS report, 45-Day Referral to IFSP Timeline, was used to collect and analyze data for Indicator 7. This report generates a list of every initial IFSP written during the reporting period. This EIDS report also provides the reasons for IFSP delays based on reasons indicated by System Point of Entry SPOE staff. The system calculates the number of days from referral to IFSP based upon the referral dates entered. Analysis of the reasons for untimely due to exceptional family circumstances such as child’s illness or hospitalization, response time by the family and /or family request are verified by EarlySteps Part C Staff by reviewing documentation.</w:t>
      </w:r>
      <w:r w:rsidRPr="00E74450">
        <w:rPr>
          <w:bCs/>
        </w:rPr>
        <w:br/>
        <w:t>Indicator 8A: The Early Intervention Data System (EIDS) Transition Report produces the list of children exiting during the targeted months of March, April and May, 2024. Data collected for this indicator is accurate and valid as included children from all family support coordination (FSC) agencies during the quarter. This period selected for data review for this indicator has been consistently used for several years and when quarterly results are compared each year the data has consistently reflected the full reporting period. Chart review was then conducted using the report for data collection for Indicators 8a and 8c for IFSPs with steps and services and timely transition conferences. Reviews of System Point of Entry agencies and Family Support Coordination agencies’ charts were then conducted for children exiting for the period--a total of 820 children. The review protocol used by Regional staff requires contacting the Local Education Agency or the parents and indicate the status of the child's transition when the data system’s closure reason reported “Part B eligibility not determined”, if the transition conference was not timely. The state team verified by review of child records which included children’s IFSPs and the state data base for Indicator 8A.The Part C Coordinator reviewed 10% of each regional list as verification of compliance.</w:t>
      </w:r>
      <w:r w:rsidRPr="00E74450">
        <w:rPr>
          <w:bCs/>
        </w:rPr>
        <w:br/>
      </w:r>
      <w:r w:rsidRPr="00E74450">
        <w:rPr>
          <w:bCs/>
        </w:rPr>
        <w:br/>
        <w:t>Indicator 8B: The EIDS Transition Report is pulled each month and used to send transition notification to the SEA and LEAs. This report of active children ages 2 years, 2 months through 3 years of age is sent to the Louisiana Department of Education (LDOE) monthly. The LDOE staff acknowledge receipt of the list, then disaggregates and sends the list to the appropriate Local Education Agency (LEA). The receiving LEA staff review the list and contact families to begin the eligibility determination process for Part B. Support Coordinators send the Transition Notification letter to the LEA the month a child turns 2 years 2 months. Discrepancies are discussed with the FSC agency and/or Regional Coordinator. Examples of identified discrepancies include the reporting of a child of the appropriate age whose case was closed when the notification was sent or an incorrect address or contact phone number by which to reach the family. In addition, the LDOE staff compares the lists with its data system to monitor timely completion of IEPs by the third birthday. Discrepancies for timely IEPs are resolved with each LEA according to the LDOE protocol. The average of 3541 names per month, including duplicates, was received by the LDOE and is the number used to calculate performance for this indicator. All names are sent, regardless of the child's potential Part B status, since the EarlySteps eligibility requirements are more restrictive than Louisiana's Part B eligibility, all children are presumed Part B eligible for purposes of this notification.</w:t>
      </w:r>
      <w:r w:rsidRPr="00E74450">
        <w:rPr>
          <w:bCs/>
        </w:rPr>
        <w:br/>
      </w:r>
      <w:r w:rsidRPr="00E74450">
        <w:rPr>
          <w:bCs/>
        </w:rPr>
        <w:br/>
        <w:t xml:space="preserve"> Indicator 8C: The EIDS Transition Report produced the list of children exiting during the targeted months of March, April, and May 2024. The list is disaggregated to the appropriate region. Chart review is then conducted by regional staff for data collection for Indicators 8a and 8c for timely transition conferences, IFSPs with transition steps and services, and LEA participation in transition conferences. Reviews of System Point of Entry and Family Support Coordination agency charts were then conducted for children exiting for the period which was a total of 820. The review protocol used by Regional Coordinators requires them to contact the LEA or the parents and indicate the status of the child's transition if eligibility was not determined at exit. Therefore, even when performance is less than 100% for an agency, the child's transition status is reviewed and verified. The state team verified by review of child records which included children’s IFSPs, IFSP meeting minutes, and the state data base for Indicator 8C.The Part C Coordinator reviewed 10% of each regional list as verification of compliance.</w:t>
      </w:r>
    </w:p>
    <w:p w14:paraId="3B19B60E" w14:textId="77777777" w:rsidR="00A775F4" w:rsidRPr="00A32E08" w:rsidRDefault="00A775F4" w:rsidP="00A32E08">
      <w:pPr>
        <w:rPr>
          <w:b/>
          <w:bCs/>
        </w:rPr>
      </w:pPr>
      <w:r w:rsidRPr="00A32E08">
        <w:rPr>
          <w:b/>
          <w:bCs/>
        </w:rPr>
        <w:t xml:space="preserve">Describe the data system(s) the State uses to collect monitoring and SPP/APR data, and the period from which records are reviewed.  </w:t>
      </w:r>
    </w:p>
    <w:p w14:paraId="59695152" w14:textId="7145AA78" w:rsidR="00A775F4" w:rsidRPr="00E74450" w:rsidRDefault="00A775F4" w:rsidP="005E1362">
      <w:pPr>
        <w:rPr>
          <w:bCs/>
        </w:rPr>
      </w:pPr>
      <w:r w:rsidRPr="00E74450">
        <w:rPr>
          <w:bCs/>
        </w:rPr>
        <w:t>EarlySteps data system has 3 main components which collectively make up the early intervention data system (EIDS):</w:t>
      </w:r>
      <w:r w:rsidRPr="00E74450">
        <w:rPr>
          <w:bCs/>
        </w:rPr>
        <w:br/>
        <w:t>• Service Matrix and Provider Account Module: Central Directory with providers information which is shared with families to offer Freedom of Choice to families for practitioner selection as well as provider enrollment and claims submission and payment information</w:t>
      </w:r>
      <w:r w:rsidRPr="00E74450">
        <w:rPr>
          <w:bCs/>
        </w:rPr>
        <w:br/>
        <w:t>• LAEIKIDS-Service Authorizations, Claims Payment and Status, Data Reports</w:t>
      </w:r>
      <w:r w:rsidRPr="00E74450">
        <w:rPr>
          <w:bCs/>
        </w:rPr>
        <w:br/>
        <w:t>• EarlySteps Online-Child record includes information on:</w:t>
      </w:r>
      <w:r w:rsidRPr="00E74450">
        <w:rPr>
          <w:bCs/>
        </w:rPr>
        <w:br/>
        <w:t>• early intervention dates (referral, intake, eligibility, IFSP, exit);</w:t>
      </w:r>
      <w:r w:rsidRPr="00E74450">
        <w:rPr>
          <w:bCs/>
        </w:rPr>
        <w:br/>
        <w:t>• child and family information;</w:t>
      </w:r>
      <w:r w:rsidRPr="00E74450">
        <w:rPr>
          <w:bCs/>
        </w:rPr>
        <w:br/>
        <w:t>• eligibility and evaluation;</w:t>
      </w:r>
      <w:r w:rsidRPr="00E74450">
        <w:rPr>
          <w:bCs/>
        </w:rPr>
        <w:br/>
        <w:t>• child records (IFSPs, provider contact notes); and</w:t>
      </w:r>
      <w:r w:rsidRPr="00E74450">
        <w:rPr>
          <w:bCs/>
        </w:rPr>
        <w:br/>
        <w:t>• services authorizations.</w:t>
      </w:r>
      <w:r w:rsidRPr="00E74450">
        <w:rPr>
          <w:bCs/>
        </w:rPr>
        <w:br/>
        <w:t>Data for indicator reporting is generated from one of the sites either through standard reports or queries from the FTP site which may also be matched with Medicaid data from Louisiana Medicaid Management Information System. Information from these systems can generate data for the reporting requirements for Part C; provider enrollment; payment, invoices and claims; service authorizations, and child records. Reports include the data review component of monitoring. Results may indicate need for technical assistance; findings of noncompliance; or follow-up by the Part C State office or regional staff.  In each section of the APR Indicators describes the period of record review which is quarterly or annual data.</w:t>
      </w:r>
    </w:p>
    <w:p w14:paraId="3D5F4E07" w14:textId="77777777" w:rsidR="00A775F4" w:rsidRPr="00A32E08" w:rsidRDefault="00A775F4" w:rsidP="00A32E08">
      <w:pPr>
        <w:rPr>
          <w:b/>
          <w:bCs/>
        </w:rPr>
      </w:pPr>
      <w:r w:rsidRPr="00A32E08">
        <w:rPr>
          <w:b/>
          <w:bCs/>
        </w:rPr>
        <w:t>Describe how the State issues findings: by EIS provider and/or EIS program; and if findings are issued by the number of instances or by EIS provider and/or EIS program.</w:t>
      </w:r>
    </w:p>
    <w:p w14:paraId="72B669D9" w14:textId="04F80996" w:rsidR="00A775F4" w:rsidRPr="00E74450" w:rsidRDefault="00A775F4" w:rsidP="005E1362">
      <w:pPr>
        <w:rPr>
          <w:bCs/>
        </w:rPr>
      </w:pPr>
      <w:r w:rsidRPr="00E74450">
        <w:rPr>
          <w:bCs/>
        </w:rPr>
        <w:t xml:space="preserve">EarlySteps monitors System Point of Entry (SPOE) agencies and Family Support Coordination (FSC) agencies on compliance Indicators 1, 7, 8a and 8c. Indicator 8b data is collected and reported for the SPP/APR by the data manager. Findings are issued for results less than 100% complaint. </w:t>
      </w:r>
      <w:r w:rsidRPr="00E74450">
        <w:rPr>
          <w:bCs/>
        </w:rPr>
        <w:br/>
      </w:r>
      <w:r w:rsidRPr="00E74450">
        <w:rPr>
          <w:bCs/>
        </w:rPr>
        <w:br/>
        <w:t xml:space="preserve">Indicator 1: FSC agencies are responsible for ensuring timely services. Finding is issued when 100% compliance has not been met. Corrective Action Plan (CAP) is developed by FSC agencies with support from Regional Coordinators. CAP includes action steps for correcting noncompliance; required follow-up; and subsequent record reviews. Regional Coordinators support FSC agencies through the completion of the CAP. Data collection includes direct service providers who are listed on the IFSP Service page. Finding is also issued to a direct services provider when it has been identified the specific provider has as an ongoing issue with providing timely services. Regional Coordinators follow the same process for findings. Regional Coordinators identify if technical assistance is need. Technical assistance is provided by Regional Coordinators; the Professional Development Coordinators; or the Part C Coordinator. </w:t>
      </w:r>
      <w:r w:rsidRPr="00E74450">
        <w:rPr>
          <w:bCs/>
        </w:rPr>
        <w:br/>
        <w:t xml:space="preserve">Indicator 7: SPOEs are responsible for meeting the 45-day timeline. When the timeline has exceeded the 45 days, the reason for the delay is </w:t>
      </w:r>
      <w:r w:rsidRPr="00E74450">
        <w:rPr>
          <w:bCs/>
        </w:rPr>
        <w:lastRenderedPageBreak/>
        <w:t xml:space="preserve">documented. The data manager generates reports on the 45-day timeline and provides reports to Regional Coordinators to follow-up. Delays due to system reasons result in findings and a CAP. Follow-up includes verifying that documentation identify if the reason for delay is a family or system reason for delay. Regional Coordinators support SPOE agencies through the completion of the CAP. </w:t>
      </w:r>
      <w:r w:rsidRPr="00E74450">
        <w:rPr>
          <w:bCs/>
        </w:rPr>
        <w:br/>
      </w:r>
      <w:r w:rsidRPr="00E74450">
        <w:rPr>
          <w:bCs/>
        </w:rPr>
        <w:br/>
        <w:t>Indicators 8a and 8c: FSC agencies are responsible for transition activities. A list of children in the transition age timeline is generated by the data manger; added to the monitoring protocol; and shared with Regional Coordinators for monitoring. Regional Coordinators use the Louisiana’s Early Intervention Data System (EIDS) and IFSP documents are reviewed to verify compliance. Results of monitoring are included in the monitoring protocol. Findings are issued for noncompliance and CAPs are required. The protocol requires Regional Coordinators to follow-up with LEAs and families when transition steps did not occur as required and if a transition conference happened, although late. Data is collected on LEA participation in transition conference and is reported annually to Louisiana Department of Education.</w:t>
      </w:r>
      <w:r w:rsidRPr="00E74450">
        <w:rPr>
          <w:bCs/>
        </w:rPr>
        <w:br/>
        <w:t>When a findings letter is issued to a System Point of Entry or Family Support Coordination agency, the Regional Coordinator coordinates a meeting with the agency to develop a Corrective Action Plan (CAP). The CAP includes activities to address noncompliance and sustain compliance; identifies any technical assistance needs; individuals responsible for ensure activities on the CAP are completed; timelines to correct noncompliance and; strategies to improve performance. Regional Coordinators provide professional development and technical assistance to assist the agency. Based on the data, findings resulted from work conducted by a newly hired Family Support Coordinators and Intake Coordinators. Prior to closing a CAP, the Regional Coordinator verifies that correction have been made and that there are no new noncompliance issues. A new list of children transitioning, after the period previously reviewed and reported, to monitor for compliance and verifies that. If requirements are met at 100%, the findings are measured as corrected. If not, additional technical assistance is provided and the CAP extended followed by an additional review. Correction must be completed within one year of the findings. For this reporting period, all noncompliance were corrected within a year.</w:t>
      </w:r>
      <w:r w:rsidRPr="00E74450">
        <w:rPr>
          <w:bCs/>
        </w:rPr>
        <w:br/>
      </w:r>
      <w:r w:rsidRPr="00E74450">
        <w:rPr>
          <w:bCs/>
        </w:rPr>
        <w:br/>
        <w:t>Other data reviewed:</w:t>
      </w:r>
      <w:r w:rsidRPr="00E74450">
        <w:rPr>
          <w:bCs/>
        </w:rPr>
        <w:br/>
        <w:t>--Fiscal audits conducted by contractors reviewed annually</w:t>
      </w:r>
      <w:r w:rsidRPr="00E74450">
        <w:rPr>
          <w:bCs/>
        </w:rPr>
        <w:br/>
        <w:t xml:space="preserve">--Investigation/Monitoring following a complaint </w:t>
      </w:r>
      <w:r w:rsidRPr="00E74450">
        <w:rPr>
          <w:bCs/>
        </w:rPr>
        <w:br/>
        <w:t xml:space="preserve">--Number of exit evaluations conducted </w:t>
      </w:r>
      <w:r w:rsidRPr="00E74450">
        <w:rPr>
          <w:bCs/>
        </w:rPr>
        <w:br/>
        <w:t xml:space="preserve">--Provider monitoring for compliance with IFSP requirements and documentation </w:t>
      </w:r>
      <w:r w:rsidRPr="00E74450">
        <w:rPr>
          <w:bCs/>
        </w:rPr>
        <w:br/>
        <w:t xml:space="preserve">--SPOE and FSC agency monthly report requirements </w:t>
      </w:r>
      <w:r w:rsidRPr="00E74450">
        <w:rPr>
          <w:bCs/>
        </w:rPr>
        <w:br/>
        <w:t>--EIDS data reports prior to scheduled meetings with FSC agencies/SPOEs to discuss results determine TA needs</w:t>
      </w:r>
      <w:r w:rsidRPr="00E74450">
        <w:rPr>
          <w:bCs/>
        </w:rPr>
        <w:br/>
      </w:r>
      <w:r w:rsidRPr="00E74450">
        <w:rPr>
          <w:bCs/>
        </w:rPr>
        <w:br/>
        <w:t xml:space="preserve">Stakeholder input has not part of the monitoring for this reporting year. </w:t>
      </w:r>
    </w:p>
    <w:p w14:paraId="67962B24" w14:textId="6C66AE3A" w:rsidR="00A775F4" w:rsidRPr="00A32E08" w:rsidRDefault="00A775F4" w:rsidP="00A32E08">
      <w:pPr>
        <w:rPr>
          <w:b/>
          <w:bCs/>
        </w:rPr>
      </w:pPr>
      <w:r w:rsidRPr="00A32E08">
        <w:rPr>
          <w:b/>
          <w:bCs/>
        </w:rPr>
        <w:t>If applicable, describe the adopted procedures that permit its EIS providers/ programs to correct noncompliance prior to the State’s issuance of a finding (i.e., pre-finding correction).</w:t>
      </w:r>
    </w:p>
    <w:p w14:paraId="444974EA" w14:textId="4672DF68" w:rsidR="00A775F4" w:rsidRPr="00E74450" w:rsidRDefault="00A775F4" w:rsidP="005E1362">
      <w:pPr>
        <w:rPr>
          <w:bCs/>
        </w:rPr>
      </w:pPr>
      <w:r w:rsidRPr="00E74450">
        <w:rPr>
          <w:bCs/>
        </w:rPr>
        <w:t xml:space="preserve">LA Part C does not have procedures in place for providers/ programs to correct noncompliance prior to the State issuance of a finding. </w:t>
      </w:r>
    </w:p>
    <w:p w14:paraId="749E38B4" w14:textId="77777777" w:rsidR="00A775F4" w:rsidRPr="00A32E08" w:rsidRDefault="00A775F4" w:rsidP="00A32E08">
      <w:pPr>
        <w:rPr>
          <w:b/>
          <w:bCs/>
        </w:rPr>
      </w:pPr>
      <w:r w:rsidRPr="006675B4">
        <w:t xml:space="preserve">Describe the State’s system of graduated and progressive sanctions to ensure the correction of identified noncompliance and to address areas in need </w:t>
      </w:r>
      <w:r w:rsidRPr="00A32E08">
        <w:rPr>
          <w:b/>
          <w:bCs/>
        </w:rPr>
        <w:t>of improvement, used as necessary and consistent with IDEA Part C’s enforcement provisions, the OMB Uniform Administrative Requirements, Cost Principles, and Audit Requirements for Federal Awards (Uniform Guidance), and State policies.</w:t>
      </w:r>
    </w:p>
    <w:p w14:paraId="77DC69C5" w14:textId="62D3A937" w:rsidR="00A775F4" w:rsidRPr="00E74450" w:rsidRDefault="00A775F4" w:rsidP="005E1362">
      <w:pPr>
        <w:rPr>
          <w:bCs/>
        </w:rPr>
      </w:pPr>
      <w:r w:rsidRPr="00E74450">
        <w:rPr>
          <w:bCs/>
        </w:rPr>
        <w:t xml:space="preserve">For this reporting period, La Part C system of a graduated and progressive sanctions for IDEA Part C. </w:t>
      </w:r>
    </w:p>
    <w:p w14:paraId="5A0190A9" w14:textId="77777777" w:rsidR="00A775F4" w:rsidRPr="00A32E08" w:rsidRDefault="00A775F4" w:rsidP="00A32E08">
      <w:pPr>
        <w:rPr>
          <w:b/>
          <w:bCs/>
        </w:rPr>
      </w:pPr>
      <w:r w:rsidRPr="00A32E08">
        <w:rPr>
          <w:b/>
          <w:bCs/>
        </w:rPr>
        <w:t>Describe how the State makes annual determinations of EIS program performance, including the criteria the State uses and the schedule for notifying EIS programs of their determinations. If the determinations are made public, include a web link for the most recent determinations.</w:t>
      </w:r>
    </w:p>
    <w:p w14:paraId="5DC8EBF3" w14:textId="69FBDDCB" w:rsidR="00A775F4" w:rsidRPr="00E74450" w:rsidRDefault="00A775F4" w:rsidP="005E1362">
      <w:pPr>
        <w:rPr>
          <w:bCs/>
        </w:rPr>
      </w:pPr>
      <w:r w:rsidRPr="00E74450">
        <w:rPr>
          <w:bCs/>
        </w:rPr>
        <w:t>The State uses previous finding results of noncompliance to determine if the EIS agency has consecutive findings. This is used to determine if the EIS agency meet requirements or needs assistance, which may result in a corrective action plan.</w:t>
      </w:r>
    </w:p>
    <w:p w14:paraId="03360C2E" w14:textId="77777777" w:rsidR="00A775F4" w:rsidRPr="00A32E08" w:rsidRDefault="00A775F4" w:rsidP="00A32E08">
      <w:pPr>
        <w:rPr>
          <w:b/>
          <w:bCs/>
        </w:rPr>
      </w:pPr>
      <w:r w:rsidRPr="00A32E08">
        <w:rPr>
          <w:b/>
          <w:bCs/>
        </w:rPr>
        <w:t>Provide the web link to information about the State’s general supervision policies, procedures, and process that is made available to the public.</w:t>
      </w:r>
    </w:p>
    <w:p w14:paraId="74AAFC6B" w14:textId="59650BF0" w:rsidR="00A775F4" w:rsidRPr="00E74450" w:rsidRDefault="00A775F4" w:rsidP="005E1362">
      <w:pPr>
        <w:rPr>
          <w:bCs/>
        </w:rPr>
      </w:pPr>
      <w:r w:rsidRPr="00E74450">
        <w:rPr>
          <w:bCs/>
        </w:rPr>
        <w:t>https://ldh.la.gov/page/early-steps-manual-2023</w:t>
      </w:r>
    </w:p>
    <w:p w14:paraId="49C3FD7F" w14:textId="587BC93C" w:rsidR="00181DEB" w:rsidRPr="00ED172B" w:rsidRDefault="00181DEB">
      <w:pPr>
        <w:rPr>
          <w:b/>
          <w:color w:val="000000" w:themeColor="text1"/>
        </w:rPr>
      </w:pPr>
      <w:r w:rsidRPr="00ED172B">
        <w:rPr>
          <w:b/>
          <w:color w:val="000000" w:themeColor="text1"/>
        </w:rPr>
        <w:t>Technical Assistance System:</w:t>
      </w:r>
    </w:p>
    <w:p w14:paraId="7EE0C7FA" w14:textId="5600B9EB"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evidence-based technical assistance and support to EIS programs.</w:t>
      </w:r>
    </w:p>
    <w:p w14:paraId="1697FA23" w14:textId="56CF03A5" w:rsidR="003A4D77" w:rsidRPr="00ED172B" w:rsidRDefault="00860830" w:rsidP="00042EBF">
      <w:pPr>
        <w:rPr>
          <w:color w:val="000000" w:themeColor="text1"/>
          <w:szCs w:val="16"/>
        </w:rPr>
      </w:pPr>
      <w:r w:rsidRPr="00ED172B">
        <w:rPr>
          <w:color w:val="000000" w:themeColor="text1"/>
          <w:szCs w:val="16"/>
        </w:rPr>
        <w:t>The EarlySteps technical assistance (TA) system is a component of the General Supervision System. The infrastructure which supports the TA system relies strongly on the support provided by the Part C Coordinator, Regional Coordinators and the Professional Development Coordinator. EarlySteps' TA support provided includes on-line training modules; face-to-face training and TA; virtual statewide quarterly meetings; individual agency meetings; and fidelity monitoring activities. TA activities include initial system training following completion of the online modules with new provider/agency enrollment. Regional Coordinators use a standard orientation module for this purpose. The module requires a series of scheduled contacts with the agency/provider covering certain content with built-in follow up activities. When new policies, etc. are forthcoming, regional staff are responsible for coordinating the implementation and conducting monitoring to ensure that implementation occurs as intended. Regional staff are responsible for information sharing during Regional Interagency Coordinating Council meetings; agency and provider meetings, and through email listservs. Regional Coordinators are responsible for the follow up monitoring and coaching activities to ensure practice implementation fidelity for the process which are reported quarterly to state office staff.</w:t>
      </w:r>
      <w:r w:rsidRPr="00ED172B">
        <w:rPr>
          <w:color w:val="000000" w:themeColor="text1"/>
          <w:szCs w:val="16"/>
        </w:rPr>
        <w:br/>
      </w:r>
      <w:r w:rsidRPr="00ED172B">
        <w:rPr>
          <w:color w:val="000000" w:themeColor="text1"/>
          <w:szCs w:val="16"/>
        </w:rPr>
        <w:br/>
        <w:t>LA Part C staff and OCDD staff support Part C receive ongoing technical assistance from the Early Childhood Technical Assistance Center (ECTA) and the Center for IDEA Fiscal Reporting (CIFR). Technical assistance is provided through monthly meetings. Various topics are discussed, such as monitoring, fiscal management, dispute resolution, and other topics relevant to IDEA Part C. ECTA and CIFR. National Technical Assistance Specialists recommendations and suggestions have supported the State in making positive changes to LA Part C system.  Part C staff also participation on the CARDE call to gain knowledge on how to enhance EarlySteps Dispute Resolution policy and practice.</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335A0140"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have the skills to effectively provide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The EarlySteps professional development (PD) system is designed to function with the TA system. As a component of the general supervision system, it is designed to be responsive to identified needs of providers and families. The system includes online training modules for providers; resources for providers and families; EarlySteps website information; and information and training for families. Virtual and in-person professional development activities are provided by EarlySteps Part C staff. The PD framework system includes the components already in place, such as the online and face-to-face orientation modules, specific topical content presented at RICC meetings (examples: information on IDEA Part C federal requirements, background check changes, etc.).</w:t>
      </w:r>
    </w:p>
    <w:p w14:paraId="29B4BF78" w14:textId="168C5C46" w:rsidR="00D62BE4" w:rsidRPr="00D62BE4" w:rsidRDefault="00492B6F" w:rsidP="00D62BE4">
      <w:pPr>
        <w:rPr>
          <w:b/>
          <w:color w:val="000000" w:themeColor="text1"/>
        </w:rPr>
      </w:pPr>
      <w:r>
        <w:rPr>
          <w:b/>
          <w:color w:val="000000" w:themeColor="text1"/>
        </w:rPr>
        <w:t xml:space="preserve">Stakeholder Engagement: </w:t>
      </w:r>
    </w:p>
    <w:p w14:paraId="35CAF926" w14:textId="5CC7F759" w:rsidR="00B717AA" w:rsidRDefault="00492B6F" w:rsidP="00D62BE4">
      <w:pPr>
        <w:rPr>
          <w:b/>
          <w:color w:val="000000" w:themeColor="text1"/>
        </w:rPr>
      </w:pPr>
      <w:r w:rsidRPr="003B2959">
        <w:rPr>
          <w:b/>
        </w:rPr>
        <w:lastRenderedPageBreak/>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r w:rsidRPr="00D62BE4" w:rsidDel="00492B6F">
        <w:rPr>
          <w:b/>
          <w:color w:val="000000" w:themeColor="text1"/>
        </w:rPr>
        <w:t xml:space="preserve"> </w:t>
      </w:r>
    </w:p>
    <w:p w14:paraId="025083D4" w14:textId="1FBE7633" w:rsidR="00D62BE4" w:rsidRPr="00F85A5B" w:rsidRDefault="00116D8B" w:rsidP="00D62BE4">
      <w:pPr>
        <w:rPr>
          <w:color w:val="000000" w:themeColor="text1"/>
          <w:szCs w:val="16"/>
        </w:rPr>
      </w:pPr>
      <w:r w:rsidRPr="00ED172B">
        <w:rPr>
          <w:color w:val="000000" w:themeColor="text1"/>
          <w:szCs w:val="16"/>
        </w:rPr>
        <w:t>EarlySteps has quarterly SICC Executive Members meetings and SICC general meetings which provide an opportunity for stakeholders to advise and assist EarlySteps. Regional Interagency Coordinating Council Meetings is another mechanism in which input can be provided to EarlySteps regional staff. Family members are invited to attend SICC and RICC meetings. EarlySteps Part C Coordinator conducts quarterly statewide meetings for the System Point of Entry agencies; Family Support Coordinators agencies; direct service providers; and evaluators, respectively. EarlySteps Part C Coordinator also have bi-annually meetings with translators and interpreters. The statewide meetings with providers are to informed stakeholders about proposed changes; opportunity to provide feedback and ask questions to Part C staff; and offer clarification on specific topics. During this reporting year, EarlySteps did not convene stakeholders meetings to discuss target setting. There are no changes to the target settings.</w:t>
      </w:r>
    </w:p>
    <w:p w14:paraId="250D9274" w14:textId="1C276BD3" w:rsidR="003747D0" w:rsidRPr="00ED172B" w:rsidRDefault="003747D0" w:rsidP="003747D0">
      <w:pPr>
        <w:rPr>
          <w:b/>
          <w:color w:val="000000" w:themeColor="text1"/>
          <w:szCs w:val="16"/>
        </w:rPr>
      </w:pPr>
      <w:r w:rsidRPr="00ED172B">
        <w:rPr>
          <w:b/>
          <w:color w:val="000000" w:themeColor="text1"/>
          <w:szCs w:val="16"/>
        </w:rPr>
        <w:t xml:space="preserve">Apply stakeholder input from introduction to all Part C results indicators. (y/n) </w:t>
      </w:r>
    </w:p>
    <w:p w14:paraId="1CB822D1" w14:textId="77777777" w:rsidR="00907A9B" w:rsidRDefault="003747D0">
      <w:pPr>
        <w:rPr>
          <w:color w:val="000000" w:themeColor="text1"/>
          <w:szCs w:val="16"/>
        </w:rPr>
      </w:pPr>
      <w:r w:rsidRPr="00ED172B">
        <w:rPr>
          <w:color w:val="000000" w:themeColor="text1"/>
          <w:szCs w:val="16"/>
        </w:rPr>
        <w:t>NO</w:t>
      </w:r>
    </w:p>
    <w:p w14:paraId="7DEA0B5E" w14:textId="030CCA43" w:rsidR="00887FBA" w:rsidRDefault="00887FBA">
      <w:pPr>
        <w:rPr>
          <w:b/>
          <w:color w:val="000000" w:themeColor="text1"/>
        </w:rPr>
      </w:pPr>
      <w:r w:rsidRPr="00887FBA">
        <w:rPr>
          <w:b/>
          <w:color w:val="000000" w:themeColor="text1"/>
        </w:rPr>
        <w:t>Number of Parent Members:</w:t>
      </w:r>
    </w:p>
    <w:p w14:paraId="6F9BBC61" w14:textId="058E2B2B" w:rsidR="00887FBA" w:rsidRPr="00ED172B" w:rsidRDefault="00887FBA" w:rsidP="00887FBA">
      <w:pPr>
        <w:rPr>
          <w:color w:val="000000" w:themeColor="text1"/>
          <w:szCs w:val="16"/>
        </w:rPr>
      </w:pPr>
      <w:r w:rsidRPr="00ED172B">
        <w:rPr>
          <w:color w:val="000000" w:themeColor="text1"/>
          <w:szCs w:val="16"/>
        </w:rPr>
        <w:t>3</w:t>
      </w:r>
    </w:p>
    <w:p w14:paraId="3124ECA4" w14:textId="733293E7" w:rsidR="00887FBA" w:rsidRDefault="00887FBA">
      <w:pPr>
        <w:rPr>
          <w:b/>
          <w:color w:val="000000" w:themeColor="text1"/>
        </w:rPr>
      </w:pPr>
      <w:r w:rsidRPr="00887FBA">
        <w:rPr>
          <w:b/>
          <w:color w:val="000000" w:themeColor="text1"/>
        </w:rPr>
        <w:t>Parent Members Engagement:</w:t>
      </w:r>
    </w:p>
    <w:p w14:paraId="7660E9C5" w14:textId="505FA6B2" w:rsidR="00887FBA" w:rsidRDefault="00887FBA">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14:paraId="7CE6FAFE" w14:textId="5A01E2A2" w:rsidR="00887FBA" w:rsidRPr="00F85A5B" w:rsidRDefault="00091E9A">
      <w:pPr>
        <w:rPr>
          <w:color w:val="000000" w:themeColor="text1"/>
          <w:szCs w:val="16"/>
        </w:rPr>
      </w:pPr>
      <w:r w:rsidRPr="00ED172B">
        <w:rPr>
          <w:color w:val="000000" w:themeColor="text1"/>
          <w:szCs w:val="16"/>
        </w:rPr>
        <w:t>Louisiana State Interagency Coordinating Council undergone changes during this SPP/APR reporting period. The SICC Executive Director resigned. The Part C Coordinator is the acting SICC Executive Director and is supporting the SICC to ensure the Council aligns with IDEA Part C requirements for an SICC and adheres to SICC Bylaws. The SICC has 22 members which includes three parent members. The SICC Chair is also the Louisiana Department of Education Head Start representative. The SICC Secretary is a family member. The Community Outreach Specialists are parents with children with disabilities. For this fiscal year reporting, there was no parent participation on the SICC, although there are three parent members listed on the SICC roster. One of the focuses of the SICC is recruitment of parents and family members. EarlySteps is working closely with the Louisiana Governor's Office of Disability Affairs and Louisiana Boards and Commission with SICC application process parents and providers who are interested in the SICC.</w:t>
      </w:r>
    </w:p>
    <w:p w14:paraId="478ADE7A" w14:textId="77777777" w:rsidR="00375DCE" w:rsidRPr="00375DCE" w:rsidRDefault="00375DCE" w:rsidP="00375DCE">
      <w:pPr>
        <w:rPr>
          <w:b/>
          <w:color w:val="000000" w:themeColor="text1"/>
        </w:rPr>
      </w:pPr>
      <w:r w:rsidRPr="00375DCE">
        <w:rPr>
          <w:b/>
          <w:color w:val="000000" w:themeColor="text1"/>
        </w:rPr>
        <w:t>Activities to Improve Outcomes for Children with Disabilities:</w:t>
      </w:r>
    </w:p>
    <w:p w14:paraId="7C7668E9" w14:textId="40A34C84" w:rsidR="00375DCE" w:rsidRDefault="00375DCE" w:rsidP="00375DCE">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14:paraId="054E8935" w14:textId="2FBC8274" w:rsidR="00375DCE" w:rsidRDefault="002D7C09" w:rsidP="00375DCE">
      <w:pPr>
        <w:rPr>
          <w:color w:val="000000" w:themeColor="text1"/>
          <w:szCs w:val="16"/>
        </w:rPr>
      </w:pPr>
      <w:r w:rsidRPr="00ED172B">
        <w:rPr>
          <w:color w:val="000000" w:themeColor="text1"/>
          <w:szCs w:val="16"/>
        </w:rPr>
        <w:t xml:space="preserve">EarlySteps issued a statewide email blast to all providers requesting their support in recruiting parents and family members for the SICC. The Part C Coordinator shared contact information for anyone to call or email with questions about the SICC. Included in EarlySteps Part C budget is funding for parents and family members for the cost of child care and mileage reimbursements when attending SICC committee meetings. The SICC is in the initial phase of developing a sub-committee, Family Engagement Committee, which will focus on family involvement with the SICC and family input on implementation of early intervention in Louisiana. Regional Interagency Coordinating Council are regional quarterly meetings with EarlySteps Regional Coordinators and stakeholders. Parents are also invited to participate. EarlySteps shared with stakeholders during statewide meetings the plan to have bi-annually forums for families. </w:t>
      </w:r>
      <w:r w:rsidRPr="00ED172B">
        <w:rPr>
          <w:color w:val="000000" w:themeColor="text1"/>
          <w:szCs w:val="16"/>
        </w:rPr>
        <w:br/>
      </w:r>
      <w:r w:rsidRPr="00ED172B">
        <w:rPr>
          <w:color w:val="000000" w:themeColor="text1"/>
          <w:szCs w:val="16"/>
        </w:rPr>
        <w:br/>
        <w:t>Louisiana Part C Coordinator has monthly collaborative meetings with Louisiana Parent Training Information (PTI) Center. PTI provides ongoing training and support to parents on IDEA Part C services, including the transition process. PTI collects feedback from parents on how supports and services are going and recommendations for improvements.</w:t>
      </w:r>
      <w:r w:rsidRPr="00ED172B">
        <w:rPr>
          <w:color w:val="000000" w:themeColor="text1"/>
          <w:szCs w:val="16"/>
        </w:rPr>
        <w:br/>
      </w:r>
      <w:r w:rsidRPr="00ED172B">
        <w:rPr>
          <w:color w:val="000000" w:themeColor="text1"/>
          <w:szCs w:val="16"/>
        </w:rPr>
        <w:br/>
        <w:t xml:space="preserve">Regional Coordinators worked with Community Outreach Specialists (COS) to support families with helping them to complete their family survey to ensure that their voices and opinions are heard. COSs are parents of children with developmental disabilities. Each Region has a COS who lives and supports families in that Region. </w:t>
      </w:r>
      <w:r w:rsidRPr="00ED172B">
        <w:rPr>
          <w:color w:val="000000" w:themeColor="text1"/>
          <w:szCs w:val="16"/>
        </w:rPr>
        <w:br/>
      </w:r>
      <w:r w:rsidRPr="00ED172B">
        <w:rPr>
          <w:color w:val="000000" w:themeColor="text1"/>
          <w:szCs w:val="16"/>
        </w:rPr>
        <w:br/>
        <w:t xml:space="preserve">EarlySteps Regional Coordinators conduct Regional Interagency Coordinating Council (RICC) meetings on a quarterly basis for each of the 10 Regions. EarlySteps Family Support Coordinators and providers are encouraged to invite parents to RICC meetings. </w:t>
      </w:r>
      <w:r w:rsidRPr="00ED172B">
        <w:rPr>
          <w:color w:val="000000" w:themeColor="text1"/>
          <w:szCs w:val="16"/>
        </w:rPr>
        <w:br/>
      </w:r>
      <w:r w:rsidRPr="00ED172B">
        <w:rPr>
          <w:color w:val="000000" w:themeColor="text1"/>
          <w:szCs w:val="16"/>
        </w:rPr>
        <w:br/>
        <w:t>Louisiana Part C Coordinator has been appointed to the Governor Children’s Advisory Board. The Children’s Cabinet Advisory Board provides information and recommendations from perspective of advocacy groups, service providers and parents on policies and program relating to Louisiana children.</w:t>
      </w:r>
      <w:r w:rsidRPr="00ED172B">
        <w:rPr>
          <w:color w:val="000000" w:themeColor="text1"/>
          <w:szCs w:val="16"/>
        </w:rPr>
        <w:br/>
      </w:r>
      <w:r w:rsidRPr="00ED172B">
        <w:rPr>
          <w:color w:val="000000" w:themeColor="text1"/>
          <w:szCs w:val="16"/>
        </w:rPr>
        <w:br/>
        <w:t xml:space="preserve">EarlySteps purchased hearing screening instruments with ARPA funds. EarlySteps Louisiana Early Hearing Detection and Intervention (EHDI) partnered together to ensure children have hearing screening and hear directly from parents on best ways to improve outcomes for children who are deaf and hard of hearing. EHDI provided statewide training for Intake Coordinators. The hearing screening instruments are loaned out to the System Point of Entry (SPOE) contractors statewide, so that the Intake Coordinators can conduct hearing screenings during intake visits with families. This initiative is an opportunity to support parents who may have concerns about their children hearing. </w:t>
      </w:r>
      <w:r w:rsidRPr="00ED172B">
        <w:rPr>
          <w:color w:val="000000" w:themeColor="text1"/>
          <w:szCs w:val="16"/>
        </w:rPr>
        <w:br/>
      </w:r>
      <w:r w:rsidRPr="00ED172B">
        <w:rPr>
          <w:color w:val="000000" w:themeColor="text1"/>
          <w:szCs w:val="16"/>
        </w:rPr>
        <w:br/>
        <w:t xml:space="preserve">EarlySteps State Team and Community Outreach Specialists continue to participate in various public awareness events throughout the state with other community partners, such as Families Helping Families. Families Helping Families provide information and referral, training and education, and peer-to-peer support on disability-related issues. </w:t>
      </w:r>
      <w:r w:rsidRPr="00ED172B">
        <w:rPr>
          <w:color w:val="000000" w:themeColor="text1"/>
          <w:szCs w:val="16"/>
        </w:rPr>
        <w:br/>
        <w:t xml:space="preserve">LA Part C Coordinator is collaborating with PTI and SICC on creating family forums. </w:t>
      </w:r>
      <w:r w:rsidRPr="00ED172B">
        <w:rPr>
          <w:color w:val="000000" w:themeColor="text1"/>
          <w:szCs w:val="16"/>
        </w:rPr>
        <w:br/>
      </w:r>
      <w:r w:rsidRPr="00ED172B">
        <w:rPr>
          <w:color w:val="000000" w:themeColor="text1"/>
          <w:szCs w:val="16"/>
        </w:rPr>
        <w:br/>
      </w:r>
      <w:r w:rsidRPr="00ED172B">
        <w:rPr>
          <w:color w:val="000000" w:themeColor="text1"/>
          <w:szCs w:val="16"/>
        </w:rPr>
        <w:br/>
        <w:t>Translation and interpretation services are available for all meetings.</w:t>
      </w:r>
    </w:p>
    <w:p w14:paraId="568574BC" w14:textId="77777777" w:rsidR="006D0CD0" w:rsidRPr="00F85A5B" w:rsidRDefault="006D0CD0" w:rsidP="006D0CD0">
      <w:pPr>
        <w:rPr>
          <w:b/>
          <w:color w:val="000000" w:themeColor="text1"/>
        </w:rPr>
      </w:pPr>
      <w:r w:rsidRPr="00F85A5B">
        <w:rPr>
          <w:b/>
          <w:color w:val="000000" w:themeColor="text1"/>
        </w:rPr>
        <w:t>Soliciting Public Input:</w:t>
      </w:r>
    </w:p>
    <w:p w14:paraId="6DE56C89" w14:textId="65E52F00" w:rsidR="006D0CD0" w:rsidRDefault="006D0CD0" w:rsidP="006D0CD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14:paraId="0381CFBB" w14:textId="64F886B8" w:rsidR="006D0CD0" w:rsidRDefault="006D0CD0" w:rsidP="006D0CD0">
      <w:pPr>
        <w:rPr>
          <w:color w:val="000000" w:themeColor="text1"/>
          <w:szCs w:val="16"/>
        </w:rPr>
      </w:pPr>
      <w:r w:rsidRPr="00ED172B">
        <w:rPr>
          <w:color w:val="000000" w:themeColor="text1"/>
          <w:szCs w:val="16"/>
        </w:rPr>
        <w:t>EarlySteps did not solicit public input for this fiscal year reported.</w:t>
      </w:r>
    </w:p>
    <w:p w14:paraId="2BC7B253" w14:textId="77777777" w:rsidR="00583FAD" w:rsidRPr="00F85A5B" w:rsidRDefault="00583FAD" w:rsidP="00583FAD">
      <w:pPr>
        <w:rPr>
          <w:b/>
          <w:color w:val="000000" w:themeColor="text1"/>
        </w:rPr>
      </w:pPr>
      <w:r w:rsidRPr="00F85A5B">
        <w:rPr>
          <w:b/>
          <w:color w:val="000000" w:themeColor="text1"/>
        </w:rPr>
        <w:t>Making Results Available to the Public:</w:t>
      </w:r>
    </w:p>
    <w:p w14:paraId="76B02DE6" w14:textId="7E68F210" w:rsidR="00583FAD" w:rsidRDefault="00583FAD" w:rsidP="00583FAD">
      <w:pPr>
        <w:rPr>
          <w:b/>
          <w:color w:val="000000" w:themeColor="text1"/>
        </w:rPr>
      </w:pPr>
      <w:r w:rsidRPr="00F85A5B">
        <w:rPr>
          <w:b/>
          <w:color w:val="000000" w:themeColor="text1"/>
        </w:rPr>
        <w:t>The mechanisms and timelines for making the results of the setting targets, data analysis, development of the improvement strategies, and evaluation available to the public.</w:t>
      </w:r>
    </w:p>
    <w:p w14:paraId="11C27D9E" w14:textId="4B17759B" w:rsidR="00583FAD" w:rsidRDefault="00583FAD" w:rsidP="00583FAD">
      <w:pPr>
        <w:rPr>
          <w:color w:val="000000" w:themeColor="text1"/>
          <w:szCs w:val="16"/>
        </w:rPr>
      </w:pPr>
      <w:r w:rsidRPr="00ED172B">
        <w:rPr>
          <w:color w:val="000000" w:themeColor="text1"/>
          <w:szCs w:val="16"/>
        </w:rPr>
        <w:lastRenderedPageBreak/>
        <w:t>Information on Lead Agency and SICC activities are shared quarterly at SICC Executive Committee and SICC general meetings. Slides from the presentations are shared with the SICC listserv. Regional Coordinators then present the information at their RICC stakeholder meetings and share the slides with their listservs. Part C Coordinator share information during quarterly meetings with System Point of Entry agencies, Family Support Coordination agencies, providers, and evaluators.</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141FCD68" w:rsidR="004868E8" w:rsidRPr="00ED172B" w:rsidRDefault="004868E8" w:rsidP="004868E8">
      <w:pPr>
        <w:rPr>
          <w:b/>
          <w:color w:val="000000" w:themeColor="text1"/>
          <w:szCs w:val="16"/>
        </w:rPr>
      </w:pPr>
      <w:r w:rsidRPr="00ED172B">
        <w:rPr>
          <w:b/>
          <w:color w:val="000000" w:themeColor="text1"/>
          <w:szCs w:val="16"/>
        </w:rPr>
        <w:t>How and where the State reported to the public on the FFY 2022 performance of each EIS Program located in the State on the targets in the SPP/APR as soon as practicable, but no later than 120 days following the State’s submission of its FFY 2022 APR, as required by 34 CFR §303.702(b)(1)(i)(A); and a description of where, on its website, a complete copy of the State’s SPP/APR, including any revisions if the State has revised the targets that it submitted with its FFY 2022 APR in 2024, is available.</w:t>
      </w:r>
    </w:p>
    <w:p w14:paraId="788E8800" w14:textId="7E8AC8B9" w:rsidR="003A4D77" w:rsidRPr="00ED172B" w:rsidRDefault="00860830" w:rsidP="00DF09CC">
      <w:pPr>
        <w:rPr>
          <w:color w:val="000000" w:themeColor="text1"/>
          <w:szCs w:val="16"/>
        </w:rPr>
      </w:pPr>
      <w:r w:rsidRPr="00ED172B">
        <w:rPr>
          <w:color w:val="000000" w:themeColor="text1"/>
          <w:szCs w:val="16"/>
        </w:rPr>
        <w:t>The reports of FFY 2022 performance were reported at SICC Executive Committee; SICC general meetings; and the Office for Citizens with Developmental Disabilities, Developmental Disability Council Report. Information on local performance of regional programs is posted to the EarlySteps website at https://ldh.la.gov/page/early-steps.</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027F39" w:rsidP="00027F39">
      <w:pPr>
        <w:rPr>
          <w:color w:val="000000" w:themeColor="text1"/>
        </w:rPr>
      </w:pPr>
      <w:r w:rsidRPr="00ED172B">
        <w:rPr>
          <w:color w:val="000000" w:themeColor="text1"/>
        </w:rPr>
        <w:t>None</w:t>
      </w:r>
    </w:p>
    <w:p w14:paraId="49F2B657" w14:textId="77777777" w:rsidR="005A43C0" w:rsidRPr="00ED172B" w:rsidRDefault="005A43C0" w:rsidP="003A4D77">
      <w:pPr>
        <w:rPr>
          <w:rFonts w:cs="Arial"/>
          <w:color w:val="000000" w:themeColor="text1"/>
          <w:szCs w:val="16"/>
        </w:rPr>
      </w:pPr>
    </w:p>
    <w:p w14:paraId="37898305" w14:textId="383BCBB8" w:rsidR="003A4D77" w:rsidRPr="00A40EE1" w:rsidRDefault="00571E72" w:rsidP="00C15786">
      <w:pPr>
        <w:pStyle w:val="Heading2"/>
      </w:pPr>
      <w:r w:rsidRPr="00A40EE1">
        <w:t>Intro - OSEP Response</w:t>
      </w:r>
    </w:p>
    <w:p w14:paraId="317418C1" w14:textId="65B78829" w:rsidR="003A4D77" w:rsidRPr="00ED172B" w:rsidRDefault="00027F39" w:rsidP="00027F3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r w:rsidRPr="00ED172B">
        <w:rPr>
          <w:color w:val="000000" w:themeColor="text1"/>
        </w:rPr>
        <w:br/>
      </w:r>
      <w:r w:rsidRPr="00ED172B">
        <w:rPr>
          <w:color w:val="000000" w:themeColor="text1"/>
        </w:rPr>
        <w:br/>
        <w:t>OSEP notes that the State did not describe a process that constitutes a reasonably designed general supervision system, consistent with OSEP QA 23-01. Specifically, the State described a process that limits the scope of its general supervisory activities to the EIS program’s performance on SPP/APR indicators. OSEP may follow up with the State regarding its general supervisory activities outside of the SPP/APR process.</w:t>
      </w:r>
      <w:r w:rsidRPr="00ED172B">
        <w:rPr>
          <w:color w:val="000000" w:themeColor="text1"/>
        </w:rPr>
        <w:br/>
      </w:r>
      <w:r w:rsidRPr="00ED172B">
        <w:rPr>
          <w:color w:val="000000" w:themeColor="text1"/>
        </w:rPr>
        <w:br/>
        <w:t xml:space="preserve">OSEP notes that in its description of how it makes annual determinations of EIS program performance, the State did not include all the factors that must be considered when making annual determinations, consistent with OSEP’s QA 23-01. Specifically, the State did not include performance on compliance indicators; valid, reliable and timely data; correction of identified noncompliance; other data available to the State about the EIS programs compliance with IDEA, including any relevant audit findings in its description of the criteria the State uses to make annual determinations. OSEP may follow up with the State regarding how it makes annual determinations of LEA/EIS program performance outside of the SPP/APR process. </w:t>
      </w:r>
      <w:r w:rsidRPr="00ED172B">
        <w:rPr>
          <w:color w:val="000000" w:themeColor="text1"/>
        </w:rPr>
        <w:br/>
      </w:r>
      <w:r w:rsidRPr="00ED172B">
        <w:rPr>
          <w:color w:val="000000" w:themeColor="text1"/>
        </w:rPr>
        <w:br/>
        <w:t>OSEP notes that the State did not describe its system of graduated and progressive sanctions to ensure the correction of identified noncompliance and to address areas in need of improvement. OSEP may follow up with the State regarding its system of graduated and progressive sanctions outside of the SPP/APR process.</w:t>
      </w:r>
      <w:r w:rsidRPr="00ED172B">
        <w:rPr>
          <w:color w:val="000000" w:themeColor="text1"/>
        </w:rPr>
        <w:br/>
      </w:r>
      <w:r w:rsidRPr="00ED172B">
        <w:rPr>
          <w:color w:val="000000" w:themeColor="text1"/>
        </w:rPr>
        <w:br/>
        <w:t>The State did not provide a description of the activities conducted to increase the capacity of diverse groups of parents.</w:t>
      </w: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027F39" w:rsidP="00027F39">
      <w:pPr>
        <w:rPr>
          <w:color w:val="000000" w:themeColor="text1"/>
        </w:rPr>
      </w:pPr>
      <w:r w:rsidRPr="00ED172B">
        <w:rPr>
          <w:color w:val="000000" w:themeColor="text1"/>
        </w:rPr>
        <w:t>In the FFY 2024 SPP/APR, the State must provide a description of the activities conducted to increase the capacity of diverse groups of parents.</w:t>
      </w: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3B97F0BA" w:rsidR="00EB0146" w:rsidRPr="00ED172B" w:rsidRDefault="00EB0146" w:rsidP="0077063D">
      <w:pPr>
        <w:pStyle w:val="Heading1"/>
        <w:rPr>
          <w:color w:val="000000" w:themeColor="text1"/>
        </w:rPr>
      </w:pPr>
      <w:r w:rsidRPr="00ED172B">
        <w:rPr>
          <w:color w:val="000000" w:themeColor="text1"/>
        </w:rPr>
        <w:lastRenderedPageBreak/>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3" w:name="_Toc392159259"/>
      <w:r w:rsidRPr="00ED172B">
        <w:rPr>
          <w:b/>
          <w:color w:val="000000" w:themeColor="text1"/>
          <w:szCs w:val="16"/>
        </w:rPr>
        <w:t xml:space="preserve">Monitoring Priority: </w:t>
      </w:r>
      <w:r w:rsidRPr="00ED172B">
        <w:rPr>
          <w:color w:val="000000" w:themeColor="text1"/>
          <w:szCs w:val="16"/>
        </w:rPr>
        <w:t>Early Intervention Services In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D21F29" w:rsidRDefault="00A86E16" w:rsidP="0077063D">
      <w:pPr>
        <w:rPr>
          <w:i/>
          <w:iCs/>
          <w:color w:val="000000" w:themeColor="text1"/>
          <w:szCs w:val="16"/>
        </w:rPr>
      </w:pPr>
      <w:r w:rsidRPr="00D21F29">
        <w:rPr>
          <w:i/>
          <w:iCs/>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2BC7B24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64753B7F" w:rsidR="00A86E16" w:rsidRPr="00ED172B" w:rsidRDefault="00A86E16" w:rsidP="0077063D">
      <w:pPr>
        <w:rPr>
          <w:color w:val="000000" w:themeColor="text1"/>
          <w:szCs w:val="16"/>
        </w:rPr>
      </w:pPr>
      <w:r w:rsidRPr="00ED172B">
        <w:rPr>
          <w:color w:val="000000" w:themeColor="text1"/>
          <w:szCs w:val="16"/>
        </w:rPr>
        <w:t>Provide detailed information about the timely correction of child-specific and regulatory/systemic noncompliance as noted in the Office of Special Education Programs’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0984B9A4"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66EA9111" w14:textId="1B011CD0" w:rsidR="00193E59" w:rsidRPr="00EC51AB" w:rsidRDefault="005F38FE" w:rsidP="0077063D">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bookmarkEnd w:id="3"/>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4"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50.00%</w:t>
            </w:r>
          </w:p>
        </w:tc>
      </w:tr>
    </w:tbl>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2018</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2019</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2020</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2021</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2022</w:t>
            </w:r>
          </w:p>
        </w:tc>
      </w:tr>
      <w:tr w:rsidR="00ED172B" w:rsidRPr="00ED172B" w14:paraId="6CE8763A" w14:textId="0E161AC9" w:rsidTr="00986B99">
        <w:trPr>
          <w:trHeight w:val="357"/>
        </w:trPr>
        <w:tc>
          <w:tcPr>
            <w:tcW w:w="456" w:type="pct"/>
            <w:shd w:val="clear" w:color="auto" w:fill="auto"/>
          </w:tcPr>
          <w:p w14:paraId="673D2FDB" w14:textId="5EFC127B" w:rsidR="00CB5BE6" w:rsidRPr="00ED172B" w:rsidRDefault="00CB5BE6" w:rsidP="00D21F29">
            <w:pPr>
              <w:jc w:val="center"/>
              <w:rPr>
                <w:color w:val="000000" w:themeColor="text1"/>
                <w:szCs w:val="16"/>
              </w:rPr>
            </w:pPr>
            <w:r w:rsidRPr="00ED172B">
              <w:rPr>
                <w:color w:val="000000" w:themeColor="text1"/>
                <w:szCs w:val="16"/>
              </w:rPr>
              <w:t>Target</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D21F29">
            <w:pPr>
              <w:jc w:val="cente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90.06%</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93.66%</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95.69%</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94.25%</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95.93%</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2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TARGETS"/>
      </w:tblPr>
      <w:tblGrid>
        <w:gridCol w:w="679"/>
        <w:gridCol w:w="1688"/>
        <w:gridCol w:w="1685"/>
        <w:gridCol w:w="1684"/>
      </w:tblGrid>
      <w:tr w:rsidR="009A6887" w:rsidRPr="00ED172B" w14:paraId="246DB490" w14:textId="7B55901D" w:rsidTr="00EC51AB">
        <w:trPr>
          <w:trHeight w:val="350"/>
        </w:trPr>
        <w:tc>
          <w:tcPr>
            <w:tcW w:w="592" w:type="pct"/>
            <w:tcBorders>
              <w:bottom w:val="single" w:sz="4" w:space="0" w:color="auto"/>
            </w:tcBorders>
            <w:shd w:val="clear" w:color="auto" w:fill="auto"/>
          </w:tcPr>
          <w:p w14:paraId="7E3256F3" w14:textId="77777777" w:rsidR="009A6887" w:rsidRPr="00ED172B" w:rsidRDefault="009A6887" w:rsidP="00E01C49">
            <w:pPr>
              <w:jc w:val="center"/>
              <w:rPr>
                <w:b/>
                <w:color w:val="000000" w:themeColor="text1"/>
                <w:szCs w:val="16"/>
              </w:rPr>
            </w:pPr>
            <w:r w:rsidRPr="00ED172B">
              <w:rPr>
                <w:b/>
                <w:color w:val="000000" w:themeColor="text1"/>
                <w:szCs w:val="16"/>
              </w:rPr>
              <w:t>FFY</w:t>
            </w:r>
          </w:p>
        </w:tc>
        <w:tc>
          <w:tcPr>
            <w:tcW w:w="1471" w:type="pct"/>
            <w:shd w:val="clear" w:color="auto" w:fill="auto"/>
            <w:vAlign w:val="center"/>
          </w:tcPr>
          <w:p w14:paraId="6C3EA6E7" w14:textId="0CD96192" w:rsidR="009A6887" w:rsidRPr="00ED172B" w:rsidRDefault="009A6887" w:rsidP="003A4D77">
            <w:pPr>
              <w:jc w:val="center"/>
              <w:rPr>
                <w:b/>
                <w:color w:val="000000" w:themeColor="text1"/>
                <w:szCs w:val="16"/>
              </w:rPr>
            </w:pPr>
            <w:r w:rsidRPr="00ED172B">
              <w:rPr>
                <w:rFonts w:cs="Arial"/>
                <w:b/>
                <w:color w:val="000000" w:themeColor="text1"/>
                <w:szCs w:val="16"/>
              </w:rPr>
              <w:t>2023</w:t>
            </w:r>
          </w:p>
        </w:tc>
        <w:tc>
          <w:tcPr>
            <w:tcW w:w="1469" w:type="pct"/>
          </w:tcPr>
          <w:p w14:paraId="44A76023" w14:textId="1CD7C23A" w:rsidR="009A6887" w:rsidRPr="00ED172B" w:rsidRDefault="009A6887" w:rsidP="003A4D77">
            <w:pPr>
              <w:jc w:val="center"/>
              <w:rPr>
                <w:rFonts w:cs="Arial"/>
                <w:b/>
                <w:color w:val="000000" w:themeColor="text1"/>
                <w:szCs w:val="16"/>
              </w:rPr>
            </w:pPr>
            <w:r>
              <w:rPr>
                <w:rFonts w:cs="Arial"/>
                <w:b/>
                <w:color w:val="000000" w:themeColor="text1"/>
                <w:szCs w:val="16"/>
              </w:rPr>
              <w:t>2024</w:t>
            </w:r>
          </w:p>
        </w:tc>
        <w:tc>
          <w:tcPr>
            <w:tcW w:w="1469" w:type="pct"/>
          </w:tcPr>
          <w:p w14:paraId="40AA5EA9" w14:textId="37071A4C" w:rsidR="009A6887" w:rsidRPr="00ED172B" w:rsidRDefault="009A6887" w:rsidP="003A4D77">
            <w:pPr>
              <w:jc w:val="center"/>
              <w:rPr>
                <w:rFonts w:cs="Arial"/>
                <w:b/>
                <w:color w:val="000000" w:themeColor="text1"/>
                <w:szCs w:val="16"/>
              </w:rPr>
            </w:pPr>
            <w:r>
              <w:rPr>
                <w:rFonts w:cs="Arial"/>
                <w:b/>
                <w:color w:val="000000" w:themeColor="text1"/>
                <w:szCs w:val="16"/>
              </w:rPr>
              <w:t>2025</w:t>
            </w:r>
          </w:p>
        </w:tc>
      </w:tr>
      <w:tr w:rsidR="009A6887" w:rsidRPr="00ED172B" w14:paraId="31760632" w14:textId="0D9FE637" w:rsidTr="00EC51AB">
        <w:trPr>
          <w:trHeight w:val="357"/>
        </w:trPr>
        <w:tc>
          <w:tcPr>
            <w:tcW w:w="592" w:type="pct"/>
            <w:shd w:val="clear" w:color="auto" w:fill="auto"/>
          </w:tcPr>
          <w:p w14:paraId="1FB4BD66" w14:textId="77777777" w:rsidR="009A6887" w:rsidRPr="00ED172B" w:rsidRDefault="009A6887" w:rsidP="00D21F29">
            <w:pPr>
              <w:jc w:val="center"/>
              <w:rPr>
                <w:color w:val="000000" w:themeColor="text1"/>
                <w:szCs w:val="16"/>
              </w:rPr>
            </w:pPr>
            <w:r w:rsidRPr="00ED172B">
              <w:rPr>
                <w:color w:val="000000" w:themeColor="text1"/>
                <w:szCs w:val="16"/>
              </w:rPr>
              <w:t>Target</w:t>
            </w:r>
          </w:p>
        </w:tc>
        <w:tc>
          <w:tcPr>
            <w:tcW w:w="1471" w:type="pct"/>
            <w:shd w:val="clear" w:color="auto" w:fill="auto"/>
          </w:tcPr>
          <w:p w14:paraId="73D2B7A9" w14:textId="1EA3E525" w:rsidR="009A6887" w:rsidRPr="00ED172B" w:rsidRDefault="009A6887" w:rsidP="00715B7C">
            <w:pPr>
              <w:jc w:val="center"/>
              <w:rPr>
                <w:color w:val="000000" w:themeColor="text1"/>
                <w:szCs w:val="16"/>
              </w:rPr>
            </w:pPr>
            <w:r w:rsidRPr="00ED172B">
              <w:rPr>
                <w:color w:val="000000" w:themeColor="text1"/>
                <w:szCs w:val="16"/>
              </w:rPr>
              <w:t>100%</w:t>
            </w:r>
          </w:p>
        </w:tc>
        <w:tc>
          <w:tcPr>
            <w:tcW w:w="1469" w:type="pct"/>
          </w:tcPr>
          <w:p w14:paraId="04EEAAC8" w14:textId="11881C4E" w:rsidR="009A6887" w:rsidRPr="00ED172B" w:rsidRDefault="009A6887" w:rsidP="00715B7C">
            <w:pPr>
              <w:jc w:val="center"/>
              <w:rPr>
                <w:color w:val="000000" w:themeColor="text1"/>
                <w:szCs w:val="16"/>
              </w:rPr>
            </w:pPr>
            <w:r>
              <w:rPr>
                <w:color w:val="000000" w:themeColor="text1"/>
                <w:szCs w:val="16"/>
              </w:rPr>
              <w:t>100%</w:t>
            </w:r>
          </w:p>
        </w:tc>
        <w:tc>
          <w:tcPr>
            <w:tcW w:w="1469" w:type="pct"/>
          </w:tcPr>
          <w:p w14:paraId="041BBD6F" w14:textId="37DE789D" w:rsidR="009A6887" w:rsidRPr="00ED172B" w:rsidRDefault="009A6887" w:rsidP="00715B7C">
            <w:pPr>
              <w:jc w:val="center"/>
              <w:rPr>
                <w:color w:val="000000" w:themeColor="text1"/>
                <w:szCs w:val="16"/>
              </w:rPr>
            </w:pPr>
            <w:r>
              <w:rPr>
                <w:color w:val="000000" w:themeColor="text1"/>
                <w:szCs w:val="16"/>
              </w:rPr>
              <w:t>100%</w:t>
            </w:r>
          </w:p>
        </w:tc>
      </w:tr>
    </w:tbl>
    <w:p w14:paraId="00A2F9D5" w14:textId="77777777" w:rsidR="000A2C40" w:rsidRDefault="000A2C40">
      <w:pPr>
        <w:rPr>
          <w:b/>
          <w:color w:val="000000" w:themeColor="text1"/>
        </w:rPr>
      </w:pPr>
    </w:p>
    <w:p w14:paraId="4BF12CE7" w14:textId="5D4BECFA" w:rsidR="00441FB4" w:rsidRPr="00ED172B" w:rsidRDefault="00F22D09">
      <w:pPr>
        <w:rPr>
          <w:b/>
          <w:color w:val="000000" w:themeColor="text1"/>
        </w:rPr>
      </w:pPr>
      <w:r>
        <w:rPr>
          <w:b/>
          <w:color w:val="000000" w:themeColor="text1"/>
        </w:rPr>
        <w:t>FFY 2023 SPP/APR Data</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7"/>
        <w:gridCol w:w="1278"/>
        <w:gridCol w:w="1912"/>
        <w:gridCol w:w="1152"/>
        <w:gridCol w:w="1459"/>
        <w:gridCol w:w="1411"/>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5" w:name="_Toc392159261"/>
            <w:r w:rsidRPr="00ED172B">
              <w:rPr>
                <w:b/>
                <w:color w:val="000000" w:themeColor="text1"/>
                <w:szCs w:val="16"/>
              </w:rPr>
              <w:lastRenderedPageBreak/>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55EB0846" w:rsidR="006A05A9" w:rsidRPr="00ED172B" w:rsidRDefault="00CD74B5" w:rsidP="006A05A9">
            <w:pPr>
              <w:jc w:val="center"/>
              <w:rPr>
                <w:b/>
                <w:color w:val="000000" w:themeColor="text1"/>
                <w:szCs w:val="16"/>
              </w:rPr>
            </w:pPr>
            <w:r>
              <w:rPr>
                <w:rFonts w:cs="Arial"/>
                <w:b/>
                <w:color w:val="000000" w:themeColor="text1"/>
                <w:szCs w:val="16"/>
              </w:rPr>
              <w:t>FFY 2022 Data</w:t>
            </w:r>
          </w:p>
        </w:tc>
        <w:tc>
          <w:tcPr>
            <w:tcW w:w="886" w:type="pct"/>
            <w:shd w:val="clear" w:color="auto" w:fill="auto"/>
            <w:vAlign w:val="bottom"/>
          </w:tcPr>
          <w:p w14:paraId="64E16C07" w14:textId="34A93A79" w:rsidR="006A05A9" w:rsidRPr="00ED172B" w:rsidRDefault="00F22D09" w:rsidP="006A05A9">
            <w:pPr>
              <w:jc w:val="center"/>
              <w:rPr>
                <w:b/>
                <w:color w:val="000000" w:themeColor="text1"/>
                <w:szCs w:val="16"/>
              </w:rPr>
            </w:pPr>
            <w:r>
              <w:rPr>
                <w:rFonts w:cs="Arial"/>
                <w:b/>
                <w:color w:val="000000" w:themeColor="text1"/>
                <w:szCs w:val="16"/>
              </w:rPr>
              <w:t>FFY 2023 Target</w:t>
            </w:r>
          </w:p>
        </w:tc>
        <w:tc>
          <w:tcPr>
            <w:tcW w:w="534" w:type="pct"/>
            <w:shd w:val="clear" w:color="auto" w:fill="auto"/>
            <w:vAlign w:val="bottom"/>
          </w:tcPr>
          <w:p w14:paraId="3A16633D" w14:textId="5B351404" w:rsidR="006A05A9" w:rsidRPr="00ED172B" w:rsidRDefault="00F22D09" w:rsidP="006A05A9">
            <w:pPr>
              <w:jc w:val="center"/>
              <w:rPr>
                <w:b/>
                <w:color w:val="000000" w:themeColor="text1"/>
                <w:szCs w:val="16"/>
              </w:rPr>
            </w:pPr>
            <w:r>
              <w:rPr>
                <w:rFonts w:cs="Arial"/>
                <w:b/>
                <w:color w:val="000000" w:themeColor="text1"/>
                <w:szCs w:val="16"/>
              </w:rPr>
              <w:t>FFY 2023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674</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835</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95.93%</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92.81%</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Did not meet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Slippage</w:t>
            </w:r>
          </w:p>
        </w:tc>
      </w:tr>
    </w:tbl>
    <w:p w14:paraId="3822D5F5" w14:textId="6B4691B4" w:rsidR="006E322D" w:rsidRPr="00ED172B" w:rsidRDefault="006E322D" w:rsidP="006E322D">
      <w:pPr>
        <w:rPr>
          <w:rFonts w:cs="Arial"/>
          <w:b/>
          <w:i/>
          <w:color w:val="000000" w:themeColor="text1"/>
          <w:szCs w:val="16"/>
        </w:rPr>
      </w:pPr>
      <w:r w:rsidRPr="00ED172B">
        <w:rPr>
          <w:rFonts w:cs="Arial"/>
          <w:b/>
          <w:color w:val="000000" w:themeColor="text1"/>
          <w:szCs w:val="16"/>
        </w:rPr>
        <w:t xml:space="preserve">Provide reasons for slippage, if applicable </w:t>
      </w:r>
    </w:p>
    <w:p w14:paraId="2B76F930" w14:textId="53CBBD15" w:rsidR="006E322D" w:rsidRDefault="005E414F" w:rsidP="005E414F">
      <w:pPr>
        <w:rPr>
          <w:color w:val="000000" w:themeColor="text1"/>
        </w:rPr>
      </w:pPr>
      <w:r w:rsidRPr="00ED172B">
        <w:rPr>
          <w:color w:val="000000" w:themeColor="text1"/>
        </w:rPr>
        <w:t>Louisiana did not meet its target for 2023-24 and showed slight slippage from the previous fiscal year. System delays in meeting the 30-day timeline are largely related to availability of disciplines and availability of services in rural/underserved areas to provide early intervention services. Staff turnover and shortages in our family support coordination (FSC) agencies also contributed to our slippage.</w:t>
      </w:r>
    </w:p>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6" w:name="_Toc382082358"/>
      <w:bookmarkEnd w:id="5"/>
      <w:r w:rsidRPr="00ED172B">
        <w:rPr>
          <w:color w:val="000000" w:themeColor="text1"/>
          <w:szCs w:val="16"/>
        </w:rPr>
        <w:t>101</w:t>
      </w:r>
    </w:p>
    <w:p w14:paraId="5AF9B014" w14:textId="3F4B8397" w:rsidR="003739C5" w:rsidRDefault="003739C5" w:rsidP="00133698">
      <w:pPr>
        <w:rPr>
          <w:rFonts w:cs="Arial"/>
          <w:b/>
          <w:color w:val="000000" w:themeColor="text1"/>
          <w:szCs w:val="16"/>
        </w:rPr>
      </w:pPr>
      <w:r w:rsidRPr="003739C5">
        <w:rPr>
          <w:rFonts w:cs="Arial"/>
          <w:b/>
          <w:color w:val="000000" w:themeColor="text1"/>
          <w:szCs w:val="16"/>
        </w:rPr>
        <w:t>Provide reasons for delay, if applicable.</w:t>
      </w:r>
    </w:p>
    <w:p w14:paraId="71C1ED23" w14:textId="2777F026" w:rsidR="003739C5" w:rsidRPr="00ED172B" w:rsidRDefault="003739C5" w:rsidP="003739C5">
      <w:pPr>
        <w:rPr>
          <w:rFonts w:cs="Arial"/>
          <w:color w:val="000000" w:themeColor="text1"/>
          <w:szCs w:val="16"/>
        </w:rPr>
      </w:pPr>
      <w:r w:rsidRPr="00ED172B">
        <w:rPr>
          <w:color w:val="000000" w:themeColor="text1"/>
          <w:szCs w:val="16"/>
        </w:rPr>
        <w:t xml:space="preserve">Louisiana had 101 delays in service start dates due to family reasons and 60 delays due to system reasons. Exceptional family circumstances reasons for delays include family or child illness and missed appointments by the family. </w:t>
      </w:r>
      <w:r w:rsidRPr="00ED172B">
        <w:rPr>
          <w:color w:val="000000" w:themeColor="text1"/>
          <w:szCs w:val="16"/>
        </w:rPr>
        <w:br/>
      </w:r>
      <w:r w:rsidRPr="00ED172B">
        <w:rPr>
          <w:color w:val="000000" w:themeColor="text1"/>
          <w:szCs w:val="16"/>
        </w:rPr>
        <w:br/>
        <w:t xml:space="preserve">EarlySteps had an increase in the number of referrals in 2023 than referrals in 2022. Louisiana has a shortage of providers to meet the demands of higher number of referrals. In July 2022, Louisiana Department of Health/Office for </w:t>
      </w:r>
      <w:r w:rsidRPr="00ED172B">
        <w:rPr>
          <w:color w:val="000000" w:themeColor="text1"/>
          <w:szCs w:val="16"/>
        </w:rPr>
        <w:br/>
        <w:t xml:space="preserve">Citizens with Developmental Disabilities (LDH/OCDD) approved a rate increase for providers to support recruitment and retention efforts for Louisiana Early Intervention System. Since that time provider enrollment has slightly increased and it is hoped that availability will improve performance. </w:t>
      </w:r>
    </w:p>
    <w:p w14:paraId="3E95DC92" w14:textId="76EF721D" w:rsidR="007E0FCC" w:rsidRPr="00ED172B" w:rsidRDefault="00A86E16" w:rsidP="00133698">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Timely services are defined as the delivery of early intervention services identified on the initial IFSP and any additional early intervention services identified on subsequent IFSPs that are provided within 30 days of parent consent for IFSP services.</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7" w:name="_Hlk23243004"/>
      <w:r w:rsidRPr="00ED172B">
        <w:rPr>
          <w:rFonts w:cs="Arial"/>
          <w:color w:val="000000" w:themeColor="text1"/>
          <w:szCs w:val="16"/>
        </w:rPr>
        <w:t>State database</w:t>
      </w:r>
    </w:p>
    <w:bookmarkEnd w:id="7"/>
    <w:p w14:paraId="0FB58200" w14:textId="713593EA" w:rsidR="007F3393" w:rsidRPr="00ED172B" w:rsidRDefault="007F3393" w:rsidP="00B83404">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14:paraId="04F7364E" w14:textId="24AB7EC2" w:rsidR="007F3393" w:rsidRPr="00ED172B" w:rsidRDefault="00860830" w:rsidP="00B83404">
      <w:pPr>
        <w:rPr>
          <w:color w:val="000000" w:themeColor="text1"/>
        </w:rPr>
      </w:pPr>
      <w:r w:rsidRPr="00ED172B">
        <w:rPr>
          <w:color w:val="000000" w:themeColor="text1"/>
        </w:rPr>
        <w:t>Louisiana collected and analyzed data from the state's database.  The time period for data analysis was July 1, 2023 through September 30, 2023, the first quarter of Fiscal Year 2023, for all IFSPs written.</w:t>
      </w:r>
    </w:p>
    <w:p w14:paraId="45217531" w14:textId="7621120B" w:rsidR="007F3393" w:rsidRPr="00ED172B" w:rsidRDefault="007F3393" w:rsidP="00B83404">
      <w:pPr>
        <w:rPr>
          <w:b/>
          <w:color w:val="000000" w:themeColor="text1"/>
        </w:rPr>
      </w:pPr>
      <w:r w:rsidRPr="00ED172B">
        <w:rPr>
          <w:b/>
          <w:color w:val="000000" w:themeColor="text1"/>
        </w:rPr>
        <w:t>Describe how the data accurately reflect data for infants and toddlers with IFSPs for the full reporting period.</w:t>
      </w:r>
    </w:p>
    <w:p w14:paraId="78DAE0FF" w14:textId="5897C081" w:rsidR="007F3393" w:rsidRDefault="00860830" w:rsidP="00B83404">
      <w:pPr>
        <w:rPr>
          <w:color w:val="000000" w:themeColor="text1"/>
        </w:rPr>
      </w:pPr>
      <w:r w:rsidRPr="00ED172B">
        <w:rPr>
          <w:color w:val="000000" w:themeColor="text1"/>
        </w:rPr>
        <w:t xml:space="preserve">Data collected for this indicator is accurate and valid as it was collected from all 32-family support coordination (FSC) agencies for all infants and toddlers for whom IFSPs were developed in the first quarter of fiscal year 2023 - 2024. This period selected for data review for this indicator has been consistently used for several years and when quarterly results are compared each year the data has consistently reflected the full reporting period. Selection of the first quarter each fiscal year for data review allows time for service claims to be submitted, paid, and payment discrepancies resolved prior to monitoring and analysis for the APR. In addition, time is required to conduct service data matching for services paid for by Medicaid to be added and combined with those paid for by Part C for analysis of all service start dates for each child. </w:t>
      </w:r>
      <w:r w:rsidRPr="00ED172B">
        <w:rPr>
          <w:color w:val="000000" w:themeColor="text1"/>
        </w:rPr>
        <w:br/>
      </w:r>
      <w:r w:rsidRPr="00ED172B">
        <w:rPr>
          <w:color w:val="000000" w:themeColor="text1"/>
        </w:rPr>
        <w:br/>
        <w:t>Reasons for delays in service delivery within 30 days have been consistent over time--provider shortages for specific disciplines and service delivery in rural/underserved areas despite ongoing efforts to improve availability. For these reasons, the state feels strongly that the results are representative of the full reporting period when analyzing all IFSPs written during the first quarter and comparing trends across fiscal years.</w:t>
      </w:r>
    </w:p>
    <w:p w14:paraId="0A887955" w14:textId="77777777" w:rsidR="0099603A" w:rsidRDefault="002F48B9" w:rsidP="00361F62">
      <w:pPr>
        <w:rPr>
          <w:b/>
          <w:color w:val="000000" w:themeColor="text1"/>
        </w:rPr>
      </w:pPr>
      <w:r w:rsidRPr="002F48B9">
        <w:rPr>
          <w:b/>
          <w:color w:val="000000" w:themeColor="text1"/>
        </w:rPr>
        <w:t>Provide additional information about this indicator (optional)</w:t>
      </w:r>
    </w:p>
    <w:p w14:paraId="7BC214DF" w14:textId="3B536CFA" w:rsidR="006E322D" w:rsidRPr="00ED172B" w:rsidRDefault="006E322D" w:rsidP="00361F62">
      <w:pPr>
        <w:rPr>
          <w:color w:val="000000" w:themeColor="text1"/>
        </w:rPr>
      </w:pPr>
    </w:p>
    <w:p w14:paraId="53FAF326" w14:textId="4900330A" w:rsidR="002F1A9A" w:rsidRPr="00ED172B" w:rsidRDefault="002F1A9A"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34</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34</w:t>
            </w:r>
          </w:p>
        </w:tc>
        <w:tc>
          <w:tcPr>
            <w:tcW w:w="1229" w:type="pct"/>
            <w:shd w:val="clear" w:color="auto" w:fill="auto"/>
          </w:tcPr>
          <w:p w14:paraId="1E129A69" w14:textId="461E68FA" w:rsidR="002F1A9A" w:rsidRPr="00ED172B" w:rsidRDefault="002F1A9A" w:rsidP="00186420">
            <w:pPr>
              <w:jc w:val="center"/>
              <w:rPr>
                <w:rFonts w:cs="Arial"/>
                <w:color w:val="000000" w:themeColor="text1"/>
                <w:szCs w:val="16"/>
              </w:rPr>
            </w:pP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5569C69F" w14:textId="27B2DFE0" w:rsidR="002F1A9A" w:rsidRPr="00ED172B" w:rsidRDefault="00CD74B5" w:rsidP="00B83404">
      <w:pPr>
        <w:rPr>
          <w:color w:val="000000" w:themeColor="text1"/>
        </w:rPr>
      </w:pPr>
      <w:r>
        <w:rPr>
          <w:b/>
          <w:color w:val="000000" w:themeColor="text1"/>
        </w:rPr>
        <w:t>FFY 2022 Findings of Noncompliance Verified as Corrected</w:t>
      </w:r>
    </w:p>
    <w:p w14:paraId="55F5996D" w14:textId="2D0FCDCC" w:rsidR="002F1A9A" w:rsidRPr="00ED172B" w:rsidRDefault="002F1A9A">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A26AB9">
        <w:rPr>
          <w:b/>
          <w:i/>
          <w:color w:val="000000" w:themeColor="text1"/>
        </w:rPr>
        <w:t>.</w:t>
      </w:r>
    </w:p>
    <w:p w14:paraId="4A0BD85E" w14:textId="6583A277" w:rsidR="002F1A9A" w:rsidRPr="00ED172B" w:rsidRDefault="00860830">
      <w:pPr>
        <w:rPr>
          <w:color w:val="000000" w:themeColor="text1"/>
        </w:rPr>
      </w:pPr>
      <w:r w:rsidRPr="00ED172B">
        <w:rPr>
          <w:color w:val="000000" w:themeColor="text1"/>
        </w:rPr>
        <w:t xml:space="preserve">There were 34 findings of noncompliance for services not being provided in a timely manner. The findings were under corrective action through a jointly developed Corrective Action Plan (CAP) between the Early Intervention Services (EIS) agency and the EarlySteps Regional Coordinator. For the 34 cases of noncompliance, each finding was reviewed with each specific Family Support Coordination (FSC) agency that received a finding as part of the notice of findings letter, and individual agency-specific CAPs were developed to address the finding and compliance with Indicator 1 regulatory requirements. Each specific FSC agency with a finding and the Regional Coordinator established an “end date” on the CAP based on the level of need and time to implement correction. Following the end date of the CAP, follow-up monitoring was conducted by the Regional Coordinator through IFSP and service billing reviews using the report of service dates for IFSPs written during the next quarter following completion of the CAP end date. The state reviewed 10% of pertinent data and verified that each FSC was correctly implementing the regulatory requirements at 100% performance.  Also, the state reviewed documentation that the agency contacted the family and the provider within 2 weeks after IFSP to ensure supports were delivered within 30 days, the state reviewed documentation/agency sign-in log that the staff was trained on indicator 1 timely services and that it was discussed during weekly staff supervision sessions. </w:t>
      </w:r>
    </w:p>
    <w:p w14:paraId="43786BF5" w14:textId="5256C900" w:rsidR="002F1A9A" w:rsidRPr="00ED172B" w:rsidRDefault="002F1A9A">
      <w:pPr>
        <w:rPr>
          <w:b/>
          <w:color w:val="000000" w:themeColor="text1"/>
        </w:rPr>
      </w:pPr>
      <w:r w:rsidRPr="00ED172B">
        <w:rPr>
          <w:b/>
          <w:color w:val="000000" w:themeColor="text1"/>
        </w:rPr>
        <w:lastRenderedPageBreak/>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A26AB9">
        <w:rPr>
          <w:b/>
          <w:color w:val="000000" w:themeColor="text1"/>
        </w:rPr>
        <w:t>.</w:t>
      </w:r>
    </w:p>
    <w:p w14:paraId="7DD27FB9" w14:textId="5AC7708B" w:rsidR="002F1A9A" w:rsidRDefault="00860830">
      <w:pPr>
        <w:rPr>
          <w:color w:val="000000" w:themeColor="text1"/>
        </w:rPr>
      </w:pPr>
      <w:r w:rsidRPr="00ED172B">
        <w:rPr>
          <w:color w:val="000000" w:themeColor="text1"/>
        </w:rPr>
        <w:t xml:space="preserve">The Early Intervention Data System (EIDS) is used to generate a data report to monitor Indicator 1. The data report provided the service start dates for IFSPs written during Quarter 1. For each of the 34 individual cases of noncompliance, the Regional Coordinator reviewed and monitored multiple data sources including IFSPs and service start dates, as well as provided technical assistance and training related to Indicator 1. Service start dates were compared with service billing dates to verify that each service was initiated. The state reviewed the data to verify that each individual case of noncompliance was corrected and children received services, although late. </w:t>
      </w:r>
    </w:p>
    <w:p w14:paraId="0275179C" w14:textId="7613D1C0" w:rsidR="002F1A9A" w:rsidRPr="00ED172B" w:rsidRDefault="002F1A9A"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7162A45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2F1A9A" w:rsidP="00186420">
            <w:pPr>
              <w:jc w:val="center"/>
              <w:rPr>
                <w:rFonts w:cs="Arial"/>
                <w:color w:val="000000" w:themeColor="text1"/>
                <w:szCs w:val="16"/>
              </w:rPr>
            </w:pPr>
          </w:p>
        </w:tc>
        <w:tc>
          <w:tcPr>
            <w:tcW w:w="1399" w:type="pct"/>
            <w:shd w:val="clear" w:color="auto" w:fill="auto"/>
          </w:tcPr>
          <w:p w14:paraId="1160A201" w14:textId="0E2C6FD9" w:rsidR="002F1A9A" w:rsidRPr="00ED172B" w:rsidRDefault="002F1A9A" w:rsidP="009A3621">
            <w:pPr>
              <w:jc w:val="center"/>
              <w:rPr>
                <w:rFonts w:cs="Arial"/>
                <w:noProof/>
                <w:color w:val="000000" w:themeColor="text1"/>
                <w:szCs w:val="16"/>
              </w:rPr>
            </w:pPr>
          </w:p>
        </w:tc>
        <w:tc>
          <w:tcPr>
            <w:tcW w:w="1394" w:type="pct"/>
            <w:shd w:val="clear" w:color="auto" w:fill="auto"/>
          </w:tcPr>
          <w:p w14:paraId="4333C23A" w14:textId="71B77B57" w:rsidR="002F1A9A" w:rsidRPr="00ED172B" w:rsidRDefault="002F1A9A" w:rsidP="009A3621">
            <w:pPr>
              <w:jc w:val="center"/>
              <w:rPr>
                <w:rFonts w:cs="Arial"/>
                <w:noProof/>
                <w:color w:val="000000" w:themeColor="text1"/>
                <w:szCs w:val="16"/>
              </w:rPr>
            </w:pPr>
          </w:p>
        </w:tc>
        <w:tc>
          <w:tcPr>
            <w:tcW w:w="1307" w:type="pct"/>
            <w:shd w:val="clear" w:color="auto" w:fill="auto"/>
          </w:tcPr>
          <w:p w14:paraId="33AEF7F3" w14:textId="54D2CF26" w:rsidR="002F1A9A" w:rsidRPr="00ED172B" w:rsidRDefault="002F1A9A" w:rsidP="00433DB7">
            <w:pPr>
              <w:jc w:val="center"/>
              <w:rPr>
                <w:rFonts w:cs="Arial"/>
                <w:noProof/>
                <w:color w:val="000000" w:themeColor="text1"/>
                <w:szCs w:val="16"/>
              </w:rPr>
            </w:pPr>
          </w:p>
        </w:tc>
      </w:tr>
      <w:tr w:rsidR="00ED172B" w:rsidRPr="00ED172B" w14:paraId="77EEF846" w14:textId="77777777" w:rsidTr="00986B99">
        <w:tc>
          <w:tcPr>
            <w:tcW w:w="899" w:type="pct"/>
            <w:shd w:val="clear" w:color="auto" w:fill="auto"/>
          </w:tcPr>
          <w:p w14:paraId="5220DDBB" w14:textId="617F1338" w:rsidR="002F1A9A" w:rsidRPr="00ED172B" w:rsidRDefault="002F1A9A" w:rsidP="00186420">
            <w:pPr>
              <w:jc w:val="center"/>
              <w:rPr>
                <w:rFonts w:cs="Arial"/>
                <w:color w:val="000000" w:themeColor="text1"/>
                <w:szCs w:val="16"/>
              </w:rPr>
            </w:pPr>
          </w:p>
        </w:tc>
        <w:tc>
          <w:tcPr>
            <w:tcW w:w="1399" w:type="pct"/>
            <w:shd w:val="clear" w:color="auto" w:fill="auto"/>
          </w:tcPr>
          <w:p w14:paraId="51E72912" w14:textId="28137C7A" w:rsidR="002F1A9A" w:rsidRPr="00ED172B" w:rsidRDefault="002F1A9A" w:rsidP="009A3621">
            <w:pPr>
              <w:jc w:val="center"/>
              <w:rPr>
                <w:rFonts w:cs="Arial"/>
                <w:noProof/>
                <w:color w:val="000000" w:themeColor="text1"/>
                <w:szCs w:val="16"/>
              </w:rPr>
            </w:pPr>
          </w:p>
        </w:tc>
        <w:tc>
          <w:tcPr>
            <w:tcW w:w="1394" w:type="pct"/>
            <w:shd w:val="clear" w:color="auto" w:fill="auto"/>
          </w:tcPr>
          <w:p w14:paraId="2C1F8516" w14:textId="6CE00AC5" w:rsidR="002F1A9A" w:rsidRPr="00ED172B" w:rsidRDefault="002F1A9A" w:rsidP="009A3621">
            <w:pPr>
              <w:jc w:val="center"/>
              <w:rPr>
                <w:rFonts w:cs="Arial"/>
                <w:noProof/>
                <w:color w:val="000000" w:themeColor="text1"/>
                <w:szCs w:val="16"/>
              </w:rPr>
            </w:pPr>
          </w:p>
        </w:tc>
        <w:tc>
          <w:tcPr>
            <w:tcW w:w="1307" w:type="pct"/>
            <w:shd w:val="clear" w:color="auto" w:fill="auto"/>
          </w:tcPr>
          <w:p w14:paraId="504165E6" w14:textId="20AD78DF" w:rsidR="002F1A9A" w:rsidRPr="00ED172B" w:rsidRDefault="002F1A9A" w:rsidP="00433DB7">
            <w:pPr>
              <w:jc w:val="center"/>
              <w:rPr>
                <w:rFonts w:cs="Arial"/>
                <w:noProof/>
                <w:color w:val="000000" w:themeColor="text1"/>
                <w:szCs w:val="16"/>
              </w:rPr>
            </w:pPr>
          </w:p>
        </w:tc>
      </w:tr>
      <w:tr w:rsidR="00ED172B" w:rsidRPr="00ED172B" w14:paraId="06686058" w14:textId="77777777" w:rsidTr="00986B99">
        <w:tc>
          <w:tcPr>
            <w:tcW w:w="899" w:type="pct"/>
            <w:shd w:val="clear" w:color="auto" w:fill="auto"/>
          </w:tcPr>
          <w:p w14:paraId="25B79FD3" w14:textId="19A616F7" w:rsidR="002F1A9A" w:rsidRPr="00ED172B" w:rsidRDefault="002F1A9A" w:rsidP="00186420">
            <w:pPr>
              <w:jc w:val="center"/>
              <w:rPr>
                <w:rFonts w:cs="Arial"/>
                <w:color w:val="000000" w:themeColor="text1"/>
                <w:szCs w:val="16"/>
              </w:rPr>
            </w:pPr>
          </w:p>
        </w:tc>
        <w:tc>
          <w:tcPr>
            <w:tcW w:w="1399" w:type="pct"/>
            <w:shd w:val="clear" w:color="auto" w:fill="auto"/>
          </w:tcPr>
          <w:p w14:paraId="107B2803" w14:textId="0CF5B5C3" w:rsidR="002F1A9A" w:rsidRPr="00ED172B" w:rsidRDefault="002F1A9A" w:rsidP="009A3621">
            <w:pPr>
              <w:jc w:val="center"/>
              <w:rPr>
                <w:rFonts w:cs="Arial"/>
                <w:noProof/>
                <w:color w:val="000000" w:themeColor="text1"/>
                <w:szCs w:val="16"/>
              </w:rPr>
            </w:pPr>
          </w:p>
        </w:tc>
        <w:tc>
          <w:tcPr>
            <w:tcW w:w="1394" w:type="pct"/>
            <w:shd w:val="clear" w:color="auto" w:fill="auto"/>
          </w:tcPr>
          <w:p w14:paraId="5FBAC412" w14:textId="4ED40606" w:rsidR="002F1A9A" w:rsidRPr="00ED172B" w:rsidRDefault="002F1A9A" w:rsidP="009A3621">
            <w:pPr>
              <w:jc w:val="center"/>
              <w:rPr>
                <w:rFonts w:cs="Arial"/>
                <w:noProof/>
                <w:color w:val="000000" w:themeColor="text1"/>
                <w:szCs w:val="16"/>
              </w:rPr>
            </w:pPr>
          </w:p>
        </w:tc>
        <w:tc>
          <w:tcPr>
            <w:tcW w:w="1307" w:type="pct"/>
            <w:shd w:val="clear" w:color="auto" w:fill="auto"/>
          </w:tcPr>
          <w:p w14:paraId="1B00BD3C" w14:textId="5FA6F0AB" w:rsidR="002F1A9A" w:rsidRPr="00ED172B" w:rsidRDefault="002F1A9A" w:rsidP="00433DB7">
            <w:pPr>
              <w:jc w:val="center"/>
              <w:rPr>
                <w:rFonts w:cs="Arial"/>
                <w:noProof/>
                <w:color w:val="000000" w:themeColor="text1"/>
                <w:szCs w:val="16"/>
              </w:rPr>
            </w:pPr>
          </w:p>
        </w:tc>
      </w:tr>
      <w:tr w:rsidR="00D06052" w:rsidRPr="00ED172B" w14:paraId="75EC4F8F" w14:textId="77777777" w:rsidTr="00986B99">
        <w:tc>
          <w:tcPr>
            <w:tcW w:w="899" w:type="pct"/>
            <w:shd w:val="clear" w:color="auto" w:fill="auto"/>
          </w:tcPr>
          <w:p w14:paraId="6B87481D" w14:textId="5A6E3598" w:rsidR="00D06052" w:rsidRPr="00ED172B" w:rsidRDefault="00D06052" w:rsidP="00D06052">
            <w:pPr>
              <w:jc w:val="center"/>
              <w:rPr>
                <w:rFonts w:cs="Arial"/>
                <w:color w:val="000000" w:themeColor="text1"/>
                <w:szCs w:val="16"/>
              </w:rPr>
            </w:pPr>
          </w:p>
        </w:tc>
        <w:tc>
          <w:tcPr>
            <w:tcW w:w="1399" w:type="pct"/>
            <w:shd w:val="clear" w:color="auto" w:fill="auto"/>
          </w:tcPr>
          <w:p w14:paraId="3FE68023" w14:textId="610C124D" w:rsidR="00D06052" w:rsidRPr="00ED172B" w:rsidRDefault="00D06052" w:rsidP="00D06052">
            <w:pPr>
              <w:jc w:val="center"/>
              <w:rPr>
                <w:rFonts w:cs="Arial"/>
                <w:color w:val="000000" w:themeColor="text1"/>
                <w:szCs w:val="16"/>
              </w:rPr>
            </w:pPr>
          </w:p>
        </w:tc>
        <w:tc>
          <w:tcPr>
            <w:tcW w:w="1394" w:type="pct"/>
            <w:shd w:val="clear" w:color="auto" w:fill="auto"/>
          </w:tcPr>
          <w:p w14:paraId="08CEA572" w14:textId="644D97CC" w:rsidR="00D06052" w:rsidRPr="00ED172B" w:rsidRDefault="00D06052" w:rsidP="00D06052">
            <w:pPr>
              <w:jc w:val="center"/>
              <w:rPr>
                <w:rFonts w:cs="Arial"/>
                <w:color w:val="000000" w:themeColor="text1"/>
                <w:szCs w:val="16"/>
              </w:rPr>
            </w:pPr>
          </w:p>
        </w:tc>
        <w:tc>
          <w:tcPr>
            <w:tcW w:w="1307" w:type="pct"/>
            <w:shd w:val="clear" w:color="auto" w:fill="auto"/>
          </w:tcPr>
          <w:p w14:paraId="7AADBB03" w14:textId="24C5A8C7" w:rsidR="00D06052" w:rsidRPr="00ED172B" w:rsidRDefault="00D06052" w:rsidP="00D06052">
            <w:pPr>
              <w:jc w:val="center"/>
              <w:rPr>
                <w:rFonts w:cs="Arial"/>
                <w:color w:val="000000" w:themeColor="text1"/>
                <w:szCs w:val="16"/>
              </w:rPr>
            </w:pPr>
          </w:p>
        </w:tc>
      </w:tr>
      <w:tr w:rsidR="00D06052" w:rsidRPr="00ED172B" w14:paraId="38F4CB9B" w14:textId="77777777" w:rsidTr="00986B99">
        <w:tc>
          <w:tcPr>
            <w:tcW w:w="899" w:type="pct"/>
            <w:shd w:val="clear" w:color="auto" w:fill="auto"/>
          </w:tcPr>
          <w:p w14:paraId="139D770E" w14:textId="6EB521BB" w:rsidR="00D06052" w:rsidRPr="00ED172B" w:rsidRDefault="00D06052" w:rsidP="00D06052">
            <w:pPr>
              <w:jc w:val="center"/>
              <w:rPr>
                <w:rFonts w:cs="Arial"/>
                <w:color w:val="000000" w:themeColor="text1"/>
                <w:szCs w:val="16"/>
              </w:rPr>
            </w:pPr>
          </w:p>
        </w:tc>
        <w:tc>
          <w:tcPr>
            <w:tcW w:w="1399" w:type="pct"/>
            <w:shd w:val="clear" w:color="auto" w:fill="auto"/>
          </w:tcPr>
          <w:p w14:paraId="1AED1D12" w14:textId="70F050AE" w:rsidR="00D06052" w:rsidRPr="00ED172B" w:rsidRDefault="00D06052" w:rsidP="00D06052">
            <w:pPr>
              <w:jc w:val="center"/>
              <w:rPr>
                <w:rFonts w:cs="Arial"/>
                <w:color w:val="000000" w:themeColor="text1"/>
                <w:szCs w:val="16"/>
              </w:rPr>
            </w:pPr>
          </w:p>
        </w:tc>
        <w:tc>
          <w:tcPr>
            <w:tcW w:w="1394" w:type="pct"/>
            <w:shd w:val="clear" w:color="auto" w:fill="auto"/>
          </w:tcPr>
          <w:p w14:paraId="1580EBDF" w14:textId="2288BD28" w:rsidR="00D06052" w:rsidRPr="00ED172B" w:rsidRDefault="00D06052" w:rsidP="00D06052">
            <w:pPr>
              <w:jc w:val="center"/>
              <w:rPr>
                <w:rFonts w:cs="Arial"/>
                <w:color w:val="000000" w:themeColor="text1"/>
                <w:szCs w:val="16"/>
              </w:rPr>
            </w:pPr>
          </w:p>
        </w:tc>
        <w:tc>
          <w:tcPr>
            <w:tcW w:w="1307" w:type="pct"/>
            <w:shd w:val="clear" w:color="auto" w:fill="auto"/>
          </w:tcPr>
          <w:p w14:paraId="0DE5838F" w14:textId="1505E187" w:rsidR="00D06052" w:rsidRPr="00ED172B" w:rsidRDefault="00D06052" w:rsidP="00D06052">
            <w:pPr>
              <w:jc w:val="center"/>
              <w:rPr>
                <w:rFonts w:cs="Arial"/>
                <w:color w:val="000000" w:themeColor="text1"/>
                <w:szCs w:val="16"/>
              </w:rPr>
            </w:pPr>
          </w:p>
        </w:tc>
      </w:tr>
    </w:tbl>
    <w:p w14:paraId="5567CC80" w14:textId="77777777" w:rsidR="00DE328D" w:rsidRPr="00ED172B" w:rsidRDefault="00DE328D">
      <w:pPr>
        <w:rPr>
          <w:color w:val="000000" w:themeColor="text1"/>
        </w:rPr>
      </w:pPr>
    </w:p>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w:t>
      </w:r>
      <w:r w:rsidRPr="00ED172B">
        <w:rPr>
          <w:color w:val="000000" w:themeColor="text1"/>
        </w:rPr>
        <w:br/>
      </w:r>
      <w:r w:rsidRPr="00ED172B">
        <w:rPr>
          <w:color w:val="000000" w:themeColor="text1"/>
        </w:rPr>
        <w:br/>
        <w:t>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50B0C9A3" w14:textId="77777777" w:rsidR="004C1CEE" w:rsidRPr="00ED172B" w:rsidRDefault="004C1CEE" w:rsidP="002F1A9A">
      <w:pPr>
        <w:rPr>
          <w:rFonts w:cs="Arial"/>
          <w:color w:val="000000" w:themeColor="text1"/>
          <w:szCs w:val="16"/>
        </w:rPr>
      </w:pPr>
    </w:p>
    <w:p w14:paraId="7CD7BB8E" w14:textId="70478587" w:rsidR="002F1A9A" w:rsidRPr="00ED172B" w:rsidRDefault="002F1A9A" w:rsidP="00B83404">
      <w:pPr>
        <w:rPr>
          <w:color w:val="000000" w:themeColor="text1"/>
        </w:rPr>
      </w:pPr>
      <w:r w:rsidRPr="00ED172B">
        <w:rPr>
          <w:b/>
          <w:color w:val="000000" w:themeColor="text1"/>
        </w:rPr>
        <w:t>Response to actions required in FFY 2022 SPP/APR</w:t>
      </w:r>
      <w:r w:rsidR="00950382" w:rsidRPr="00ED172B">
        <w:rPr>
          <w:color w:val="000000" w:themeColor="text1"/>
        </w:rPr>
        <w:t xml:space="preserve"> </w:t>
      </w:r>
    </w:p>
    <w:p w14:paraId="7B432D1F" w14:textId="30BE75E8" w:rsidR="002F1A9A" w:rsidRPr="00ED172B" w:rsidRDefault="00027F39" w:rsidP="00027F39">
      <w:pPr>
        <w:rPr>
          <w:color w:val="000000" w:themeColor="text1"/>
        </w:rPr>
      </w:pPr>
      <w:r w:rsidRPr="00ED172B">
        <w:rPr>
          <w:color w:val="000000" w:themeColor="text1"/>
        </w:rPr>
        <w:t xml:space="preserve">Louisiana did not meet the 100% target for Indicator 1 and issued 34 findings of noncompliance for IFSP services that were not provided timely in Fiscal Year 2022. The process for verifying correct implementation of the regulatory requirements and for correction of each individual case of noncompliance is addressed in the previous Indicator 1 sections and is consistent with OSEP QA 23-01 </w:t>
      </w:r>
      <w:r w:rsidRPr="00ED172B">
        <w:rPr>
          <w:color w:val="000000" w:themeColor="text1"/>
        </w:rPr>
        <w:br/>
        <w:t xml:space="preserve">Meeting regulatory requirements: Following completion of CAPs, Part C staff conducted follow up monitoring for timely service delivery and verified 100% compliance and correctly implementing the regulatory requirements for timely services. </w:t>
      </w: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5E414F" w:rsidP="00027F39">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 were collected accurately reflects data for infants and toddlers with IFSPs for the full reporting period.</w:t>
      </w:r>
    </w:p>
    <w:p w14:paraId="14E4670B" w14:textId="0CF10102" w:rsidR="002F1A9A" w:rsidRPr="00A40EE1" w:rsidRDefault="000D0117" w:rsidP="005C3FFD">
      <w:pPr>
        <w:pStyle w:val="Heading2"/>
      </w:pPr>
      <w:r w:rsidRPr="00A40EE1">
        <w:t xml:space="preserve">1 - </w:t>
      </w:r>
      <w:r w:rsidR="002F1A9A" w:rsidRPr="00A40EE1">
        <w:t>Required Actions</w:t>
      </w:r>
    </w:p>
    <w:p w14:paraId="1951D376" w14:textId="06E81FEF" w:rsidR="002F1A9A" w:rsidRPr="00ED172B" w:rsidRDefault="00027F39" w:rsidP="00027F39">
      <w:pPr>
        <w:rPr>
          <w:color w:val="000000" w:themeColor="text1"/>
        </w:rPr>
      </w:pPr>
      <w:r w:rsidRPr="00ED172B">
        <w:rPr>
          <w:color w:val="000000" w:themeColor="text1"/>
        </w:rPr>
        <w:t xml:space="preserve">Because the State reported less than 100% compliance for FFY 2023, the State must report on the status of correction of noncompliance identified in FFY 2023 for this indicator. When reporting on the correction of noncompliance, the State must report, in the FFY 2024 SPP/APR, that it has verified that each EIS program or provider with noncompliance identified in FFY 2023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and no outstanding corrective action exists under a State complaint or due process hearing decision for the child, consistent with OSEP QA 23-01. In the FFY 2024 SPP/APR, the State must describe the specific actions that were taken to verify the correction. If the State did not identify any findings of noncompliance in FFY 2023, although its FFY 2023 data reflect less than 100% compliance, provide an explanation of why the State did not identify any findings of noncompliance in FFY 2023. If the State did not issue any findings because it has adopted procedures that permit its EIS programs/providers to correct noncompliance prior to the State's issuance of a finding (i.e., pre-finding correction), the explanation must include how the State verified, prior to issuing a finding, that the EIS program/provider has corrected each individual case of child-specific noncompliance and is correctly implementing the specific regulatory requirements.  </w:t>
      </w:r>
    </w:p>
    <w:p w14:paraId="5457E150" w14:textId="2454D9B8" w:rsidR="006B486C" w:rsidRPr="00ED172B" w:rsidRDefault="006B486C" w:rsidP="00604467">
      <w:pPr>
        <w:rPr>
          <w:color w:val="000000" w:themeColor="text1"/>
        </w:rPr>
        <w:sectPr w:rsidR="006B486C" w:rsidRPr="00ED172B" w:rsidSect="00BF3AB4">
          <w:footerReference w:type="default" r:id="rId12"/>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8" w:name="_Toc392159262"/>
      <w:r w:rsidRPr="00ED172B">
        <w:rPr>
          <w:color w:val="000000" w:themeColor="text1"/>
        </w:rPr>
        <w:lastRenderedPageBreak/>
        <w:t xml:space="preserve">Indicator 2: </w:t>
      </w:r>
      <w:bookmarkEnd w:id="6"/>
      <w:bookmarkEnd w:id="8"/>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9"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D21F29" w:rsidRDefault="006628E4" w:rsidP="00174E1C">
      <w:pPr>
        <w:rPr>
          <w:i/>
          <w:iCs/>
          <w:color w:val="000000" w:themeColor="text1"/>
          <w:szCs w:val="16"/>
        </w:rPr>
      </w:pPr>
      <w:r w:rsidRPr="00D21F29">
        <w:rPr>
          <w:i/>
          <w:iCs/>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9"/>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10"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98.60%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2022</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D21F29">
            <w:pPr>
              <w:jc w:val="cente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98.00%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98.00%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98.00%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98.00%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98.00%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D21F29">
            <w:pPr>
              <w:jc w:val="cente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99.68%</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99.75%</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99.87%</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99.90%</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99.86%</w:t>
            </w:r>
          </w:p>
        </w:tc>
      </w:tr>
    </w:tbl>
    <w:p w14:paraId="54FA3A41" w14:textId="1A075C46" w:rsidR="00B312CC" w:rsidRPr="00ED172B" w:rsidRDefault="00B312CC">
      <w:pPr>
        <w:rPr>
          <w:b/>
          <w:color w:val="000000" w:themeColor="text1"/>
        </w:rPr>
      </w:pPr>
      <w:r w:rsidRPr="00ED172B">
        <w:rPr>
          <w:b/>
          <w:color w:val="000000" w:themeColor="text1"/>
        </w:rPr>
        <w:t>Targets</w:t>
      </w:r>
    </w:p>
    <w:tbl>
      <w:tblPr>
        <w:tblW w:w="2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729"/>
        <w:gridCol w:w="1677"/>
        <w:gridCol w:w="1678"/>
        <w:gridCol w:w="1678"/>
      </w:tblGrid>
      <w:tr w:rsidR="000A0569" w:rsidRPr="00ED172B" w14:paraId="69640561" w14:textId="00BF0E9A" w:rsidTr="00EC51AB">
        <w:trPr>
          <w:trHeight w:val="350"/>
        </w:trPr>
        <w:tc>
          <w:tcPr>
            <w:tcW w:w="632" w:type="pct"/>
            <w:tcBorders>
              <w:bottom w:val="single" w:sz="4" w:space="0" w:color="auto"/>
            </w:tcBorders>
            <w:shd w:val="clear" w:color="auto" w:fill="auto"/>
          </w:tcPr>
          <w:p w14:paraId="1E99C122" w14:textId="77777777" w:rsidR="000A0569" w:rsidRPr="00ED172B" w:rsidRDefault="000A0569" w:rsidP="003546A3">
            <w:pPr>
              <w:jc w:val="center"/>
              <w:rPr>
                <w:b/>
                <w:color w:val="000000" w:themeColor="text1"/>
                <w:szCs w:val="16"/>
              </w:rPr>
            </w:pPr>
            <w:r w:rsidRPr="00ED172B">
              <w:rPr>
                <w:b/>
                <w:color w:val="000000" w:themeColor="text1"/>
                <w:szCs w:val="16"/>
              </w:rPr>
              <w:t>FFY</w:t>
            </w:r>
          </w:p>
        </w:tc>
        <w:tc>
          <w:tcPr>
            <w:tcW w:w="1455" w:type="pct"/>
            <w:shd w:val="clear" w:color="auto" w:fill="auto"/>
            <w:vAlign w:val="center"/>
          </w:tcPr>
          <w:p w14:paraId="65FF2B00" w14:textId="7CCAF341" w:rsidR="000A0569" w:rsidRPr="00ED172B" w:rsidRDefault="000A0569" w:rsidP="003546A3">
            <w:pPr>
              <w:jc w:val="center"/>
              <w:rPr>
                <w:b/>
                <w:color w:val="000000" w:themeColor="text1"/>
                <w:szCs w:val="16"/>
              </w:rPr>
            </w:pPr>
            <w:r w:rsidRPr="00ED172B">
              <w:rPr>
                <w:rFonts w:cs="Arial"/>
                <w:b/>
                <w:color w:val="000000" w:themeColor="text1"/>
                <w:szCs w:val="16"/>
              </w:rPr>
              <w:t>2023</w:t>
            </w:r>
          </w:p>
        </w:tc>
        <w:tc>
          <w:tcPr>
            <w:tcW w:w="1456" w:type="pct"/>
          </w:tcPr>
          <w:p w14:paraId="6A5B5290" w14:textId="1CFF28ED" w:rsidR="000A0569" w:rsidRPr="00ED172B" w:rsidRDefault="000A0569" w:rsidP="003546A3">
            <w:pPr>
              <w:jc w:val="center"/>
              <w:rPr>
                <w:rFonts w:cs="Arial"/>
                <w:b/>
                <w:color w:val="000000" w:themeColor="text1"/>
                <w:szCs w:val="16"/>
              </w:rPr>
            </w:pPr>
            <w:r>
              <w:rPr>
                <w:rFonts w:cs="Arial"/>
                <w:b/>
                <w:color w:val="000000" w:themeColor="text1"/>
                <w:szCs w:val="16"/>
              </w:rPr>
              <w:t>2024</w:t>
            </w:r>
          </w:p>
        </w:tc>
        <w:tc>
          <w:tcPr>
            <w:tcW w:w="1456" w:type="pct"/>
          </w:tcPr>
          <w:p w14:paraId="4C7B3CA6" w14:textId="5B6A1FA8" w:rsidR="000A0569" w:rsidRPr="00ED172B" w:rsidRDefault="000A0569" w:rsidP="003546A3">
            <w:pPr>
              <w:jc w:val="center"/>
              <w:rPr>
                <w:rFonts w:cs="Arial"/>
                <w:b/>
                <w:color w:val="000000" w:themeColor="text1"/>
                <w:szCs w:val="16"/>
              </w:rPr>
            </w:pPr>
            <w:r w:rsidRPr="005A1B4F">
              <w:rPr>
                <w:rFonts w:cs="Arial"/>
                <w:b/>
                <w:color w:val="000000" w:themeColor="text1"/>
                <w:szCs w:val="16"/>
              </w:rPr>
              <w:t>2025</w:t>
            </w:r>
          </w:p>
        </w:tc>
      </w:tr>
      <w:tr w:rsidR="000A0569" w:rsidRPr="00ED172B" w14:paraId="67435F39" w14:textId="4B221A6D" w:rsidTr="00EC51AB">
        <w:trPr>
          <w:trHeight w:val="357"/>
        </w:trPr>
        <w:tc>
          <w:tcPr>
            <w:tcW w:w="632" w:type="pct"/>
            <w:shd w:val="clear" w:color="auto" w:fill="auto"/>
          </w:tcPr>
          <w:p w14:paraId="3D2F539F" w14:textId="00377A5F" w:rsidR="000A0569" w:rsidRPr="00ED172B" w:rsidRDefault="000A0569" w:rsidP="00D21F29">
            <w:pPr>
              <w:jc w:val="center"/>
              <w:rPr>
                <w:color w:val="000000" w:themeColor="text1"/>
                <w:szCs w:val="16"/>
              </w:rPr>
            </w:pPr>
            <w:r w:rsidRPr="00ED172B">
              <w:rPr>
                <w:color w:val="000000" w:themeColor="text1"/>
                <w:szCs w:val="16"/>
              </w:rPr>
              <w:t>Target&gt;=</w:t>
            </w:r>
          </w:p>
        </w:tc>
        <w:tc>
          <w:tcPr>
            <w:tcW w:w="1455" w:type="pct"/>
            <w:shd w:val="clear" w:color="auto" w:fill="auto"/>
            <w:vAlign w:val="center"/>
          </w:tcPr>
          <w:p w14:paraId="64D40D5F" w14:textId="4B9F73CA" w:rsidR="000A0569" w:rsidRPr="00ED172B" w:rsidRDefault="000A0569" w:rsidP="00573310">
            <w:pPr>
              <w:jc w:val="center"/>
              <w:rPr>
                <w:color w:val="000000" w:themeColor="text1"/>
                <w:szCs w:val="16"/>
              </w:rPr>
            </w:pPr>
            <w:r w:rsidRPr="00ED172B">
              <w:rPr>
                <w:rFonts w:cs="Arial"/>
                <w:color w:val="000000" w:themeColor="text1"/>
                <w:szCs w:val="16"/>
              </w:rPr>
              <w:t>98.00%</w:t>
            </w:r>
          </w:p>
        </w:tc>
        <w:tc>
          <w:tcPr>
            <w:tcW w:w="1456" w:type="pct"/>
          </w:tcPr>
          <w:p w14:paraId="729751AD" w14:textId="13A0179F" w:rsidR="000A0569" w:rsidRPr="00ED172B" w:rsidRDefault="000A0569" w:rsidP="00573310">
            <w:pPr>
              <w:jc w:val="center"/>
              <w:rPr>
                <w:rFonts w:cs="Arial"/>
                <w:color w:val="000000" w:themeColor="text1"/>
                <w:szCs w:val="16"/>
              </w:rPr>
            </w:pPr>
            <w:r>
              <w:rPr>
                <w:rFonts w:cs="Arial"/>
                <w:color w:val="000000" w:themeColor="text1"/>
                <w:szCs w:val="16"/>
              </w:rPr>
              <w:t>98.00%</w:t>
            </w:r>
          </w:p>
        </w:tc>
        <w:tc>
          <w:tcPr>
            <w:tcW w:w="1456" w:type="pct"/>
          </w:tcPr>
          <w:p w14:paraId="32254393" w14:textId="0DA02971" w:rsidR="000A0569" w:rsidRPr="00ED172B" w:rsidRDefault="000A0569" w:rsidP="00573310">
            <w:pPr>
              <w:jc w:val="center"/>
              <w:rPr>
                <w:rFonts w:cs="Arial"/>
                <w:color w:val="000000" w:themeColor="text1"/>
                <w:szCs w:val="16"/>
              </w:rPr>
            </w:pPr>
            <w:r w:rsidRPr="005F5F3C">
              <w:rPr>
                <w:rFonts w:cs="Arial"/>
                <w:color w:val="000000" w:themeColor="text1"/>
                <w:szCs w:val="16"/>
              </w:rPr>
              <w:t>98.00%</w:t>
            </w:r>
          </w:p>
        </w:tc>
      </w:tr>
    </w:tbl>
    <w:p w14:paraId="048B5BE7" w14:textId="7B076B48" w:rsidR="00BF7D80" w:rsidRDefault="00F80C9C" w:rsidP="00B83404">
      <w:pPr>
        <w:rPr>
          <w:b/>
          <w:color w:val="000000" w:themeColor="text1"/>
        </w:rPr>
      </w:pPr>
      <w:bookmarkStart w:id="11" w:name="_Toc392159265"/>
      <w:bookmarkEnd w:id="10"/>
      <w:r w:rsidRPr="00ED172B">
        <w:rPr>
          <w:b/>
          <w:color w:val="000000" w:themeColor="text1"/>
        </w:rPr>
        <w:t>Targets: Description of Stakeholder Input</w:t>
      </w:r>
    </w:p>
    <w:p w14:paraId="7615FD78" w14:textId="04DD62A8" w:rsidR="00AE7452" w:rsidRPr="00ED172B" w:rsidRDefault="00AE7452" w:rsidP="00B83404">
      <w:pPr>
        <w:rPr>
          <w:color w:val="000000" w:themeColor="text1"/>
        </w:rPr>
      </w:pPr>
      <w:r w:rsidRPr="00ED172B">
        <w:rPr>
          <w:rFonts w:cs="Arial"/>
          <w:color w:val="000000" w:themeColor="text1"/>
          <w:szCs w:val="16"/>
        </w:rPr>
        <w:t>Stakeholder involvement in the development of data collection and target setting for Indicator 2 was completed in the 2020-2021 fiscal year and we will continue to use those targets for FFY 2023.</w:t>
      </w: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07/31/2024</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6,531</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07/31/2024</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6,538</w:t>
            </w:r>
          </w:p>
        </w:tc>
      </w:tr>
    </w:tbl>
    <w:p w14:paraId="7B961186" w14:textId="09527E0B" w:rsidR="006628E4" w:rsidRPr="00ED172B" w:rsidRDefault="00F22D09">
      <w:pPr>
        <w:rPr>
          <w:b/>
          <w:color w:val="000000" w:themeColor="text1"/>
        </w:rPr>
      </w:pPr>
      <w:r>
        <w:rPr>
          <w:b/>
          <w:color w:val="000000" w:themeColor="text1"/>
        </w:rPr>
        <w:t>FFY 2023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9"/>
        <w:gridCol w:w="1268"/>
        <w:gridCol w:w="1893"/>
        <w:gridCol w:w="1140"/>
        <w:gridCol w:w="1444"/>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3CBA2398" w:rsidR="00B605F5" w:rsidRPr="00ED172B" w:rsidRDefault="00CD74B5" w:rsidP="00B605F5">
            <w:pPr>
              <w:jc w:val="center"/>
              <w:rPr>
                <w:b/>
                <w:color w:val="000000" w:themeColor="text1"/>
                <w:szCs w:val="16"/>
              </w:rPr>
            </w:pPr>
            <w:r>
              <w:rPr>
                <w:rFonts w:cs="Arial"/>
                <w:b/>
                <w:color w:val="000000" w:themeColor="text1"/>
                <w:szCs w:val="16"/>
              </w:rPr>
              <w:t>FFY 2022 Data</w:t>
            </w:r>
          </w:p>
        </w:tc>
        <w:tc>
          <w:tcPr>
            <w:tcW w:w="877" w:type="pct"/>
            <w:shd w:val="clear" w:color="auto" w:fill="auto"/>
            <w:vAlign w:val="bottom"/>
          </w:tcPr>
          <w:p w14:paraId="418B7AF3" w14:textId="4BF44F84" w:rsidR="00B605F5" w:rsidRPr="00ED172B" w:rsidRDefault="00F22D09" w:rsidP="00B605F5">
            <w:pPr>
              <w:jc w:val="center"/>
              <w:rPr>
                <w:b/>
                <w:color w:val="000000" w:themeColor="text1"/>
                <w:szCs w:val="16"/>
              </w:rPr>
            </w:pPr>
            <w:r>
              <w:rPr>
                <w:rFonts w:cs="Arial"/>
                <w:b/>
                <w:color w:val="000000" w:themeColor="text1"/>
                <w:szCs w:val="16"/>
              </w:rPr>
              <w:t>FFY 2023 Target</w:t>
            </w:r>
          </w:p>
        </w:tc>
        <w:tc>
          <w:tcPr>
            <w:tcW w:w="528" w:type="pct"/>
            <w:shd w:val="clear" w:color="auto" w:fill="auto"/>
            <w:vAlign w:val="bottom"/>
          </w:tcPr>
          <w:p w14:paraId="1EF8A614" w14:textId="769B57DC" w:rsidR="00B605F5" w:rsidRPr="00ED172B" w:rsidRDefault="00F22D09" w:rsidP="00B605F5">
            <w:pPr>
              <w:jc w:val="center"/>
              <w:rPr>
                <w:b/>
                <w:color w:val="000000" w:themeColor="text1"/>
                <w:szCs w:val="16"/>
              </w:rPr>
            </w:pPr>
            <w:r>
              <w:rPr>
                <w:rFonts w:cs="Arial"/>
                <w:b/>
                <w:color w:val="000000" w:themeColor="text1"/>
                <w:szCs w:val="16"/>
              </w:rPr>
              <w:t>FFY 2023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6,531</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6,538</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99.86%</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98.00%</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99.89%</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0DFDF6A9" w:rsidR="003A3693" w:rsidRPr="00ED172B" w:rsidRDefault="003A3693" w:rsidP="003A3693">
      <w:pPr>
        <w:rPr>
          <w:rFonts w:cs="Arial"/>
          <w:b/>
          <w:color w:val="000000" w:themeColor="text1"/>
          <w:szCs w:val="16"/>
        </w:rPr>
      </w:pPr>
      <w:bookmarkStart w:id="12" w:name="_Toc382082359"/>
      <w:bookmarkStart w:id="13" w:name="_Toc392159266"/>
      <w:bookmarkStart w:id="14" w:name="_Toc365403651"/>
      <w:bookmarkEnd w:id="11"/>
      <w:r w:rsidRPr="00ED172B">
        <w:rPr>
          <w:rFonts w:cs="Arial"/>
          <w:b/>
          <w:color w:val="000000" w:themeColor="text1"/>
          <w:szCs w:val="16"/>
        </w:rPr>
        <w:t>Provide additional information about this indicator (optional).</w:t>
      </w:r>
    </w:p>
    <w:p w14:paraId="67203ABB" w14:textId="34BF3061" w:rsidR="003A3693" w:rsidRPr="00ED172B" w:rsidRDefault="003A3693" w:rsidP="003A3693">
      <w:pPr>
        <w:rPr>
          <w:rFonts w:cs="Arial"/>
          <w:color w:val="000000" w:themeColor="text1"/>
          <w:szCs w:val="16"/>
        </w:rPr>
      </w:pPr>
    </w:p>
    <w:p w14:paraId="1F801FF4" w14:textId="35B46122" w:rsidR="00DC0682" w:rsidRPr="00A40EE1" w:rsidRDefault="000D0117" w:rsidP="005C3FFD">
      <w:pPr>
        <w:pStyle w:val="Heading2"/>
      </w:pPr>
      <w:r w:rsidRPr="00A40EE1">
        <w:lastRenderedPageBreak/>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DC0682" w:rsidP="002F5A9E">
      <w:pPr>
        <w:rPr>
          <w:color w:val="000000" w:themeColor="text1"/>
        </w:rPr>
      </w:pP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DC0682" w:rsidP="002F5A9E">
      <w:pPr>
        <w:rPr>
          <w:color w:val="000000" w:themeColor="text1"/>
        </w:rPr>
      </w:pP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2"/>
      <w:bookmarkEnd w:id="13"/>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5"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D974E1" w:rsidRDefault="00F83F88" w:rsidP="004A4483">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EEF9F28"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23EB9319" w:rsidR="00F83F88" w:rsidRPr="00ED172B" w:rsidRDefault="00F83F88" w:rsidP="004A4483">
      <w:pPr>
        <w:rPr>
          <w:color w:val="000000" w:themeColor="text1"/>
          <w:szCs w:val="16"/>
        </w:rPr>
      </w:pPr>
      <w:r w:rsidRPr="00ED172B">
        <w:rPr>
          <w:color w:val="000000" w:themeColor="text1"/>
          <w:szCs w:val="16"/>
        </w:rPr>
        <w:t>Report progress data and calculate Summary Statements to compare against the six targets. Provide the actual numbers and percentages for the five reporting categories for each of the three Outcomes.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lastRenderedPageBreak/>
        <w:t xml:space="preserve">3 - </w:t>
      </w:r>
      <w:r w:rsidR="004A4483" w:rsidRPr="00A40EE1">
        <w:t>Indicator Data</w:t>
      </w:r>
      <w:bookmarkEnd w:id="15"/>
    </w:p>
    <w:p w14:paraId="4F24CCB1" w14:textId="0C4D54E3" w:rsidR="00363AAB" w:rsidRPr="00ED172B" w:rsidRDefault="00363AAB" w:rsidP="00186420">
      <w:pPr>
        <w:rPr>
          <w:b/>
          <w:color w:val="000000" w:themeColor="text1"/>
        </w:rPr>
      </w:pPr>
      <w:r w:rsidRPr="00ED172B">
        <w:rPr>
          <w:b/>
          <w:color w:val="000000" w:themeColor="text1"/>
        </w:rPr>
        <w:t>Does your State's Part C eligibility criteria include infants and toddlers who are at risk of having substantial developmental delays (or “at-risk infants and toddlers”) under IDEA section 632(5)(B)(i)? (yes/no)</w:t>
      </w:r>
    </w:p>
    <w:p w14:paraId="6E42FBC3" w14:textId="45672C6E" w:rsidR="00363AAB" w:rsidRPr="00ED172B" w:rsidRDefault="00363AAB">
      <w:pPr>
        <w:rPr>
          <w:color w:val="000000" w:themeColor="text1"/>
        </w:rPr>
      </w:pPr>
      <w:r w:rsidRPr="00ED172B">
        <w:rPr>
          <w:color w:val="000000" w:themeColor="text1"/>
        </w:rPr>
        <w:t>NO</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4E7E8330" w14:textId="749679DB" w:rsidR="004C1CEE" w:rsidRPr="00ED172B" w:rsidRDefault="00F32724" w:rsidP="00F32724">
      <w:pPr>
        <w:rPr>
          <w:color w:val="000000" w:themeColor="text1"/>
        </w:rPr>
      </w:pPr>
      <w:r w:rsidRPr="00ED172B">
        <w:rPr>
          <w:rFonts w:cs="Arial"/>
          <w:color w:val="000000" w:themeColor="text1"/>
          <w:szCs w:val="16"/>
        </w:rPr>
        <w:t>For FFY 2023 APP/APR there was not a stakeholder's meeting to discuss this Indicator. During the regularly scheduled SICC, recommendations were to keep the targets the same but to continue to monitor the data to make potential adjustments in the future. The Lead Agency receives support from National Technical Assistance centers including the Early Childhood Technical Assistance (ECTA) Center, the Center for IDEA Early Childhood Data Systems (DaSy Center), Center for IDEA Fiscal Reporting (CIFR), and the Center for Appropriate Dispute Resolution in Special Education (CADRE). The Part C staff have regular meetings to discuss strategies regarding analysis of each indicator and potential improvement strategies.</w:t>
      </w:r>
    </w:p>
    <w:p w14:paraId="76A19C1D" w14:textId="4079988E" w:rsidR="001A4B29" w:rsidRPr="00ED172B" w:rsidRDefault="001A4B29">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3HISTDATA1"/>
      </w:tblPr>
      <w:tblGrid>
        <w:gridCol w:w="1078"/>
        <w:gridCol w:w="1078"/>
        <w:gridCol w:w="1079"/>
        <w:gridCol w:w="1511"/>
        <w:gridCol w:w="1511"/>
        <w:gridCol w:w="1511"/>
        <w:gridCol w:w="1511"/>
        <w:gridCol w:w="1511"/>
      </w:tblGrid>
      <w:tr w:rsidR="00ED172B" w:rsidRPr="00ED172B" w14:paraId="35BD5034" w14:textId="29B5A610" w:rsidTr="00A40EE1">
        <w:trPr>
          <w:trHeight w:val="395"/>
        </w:trPr>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4E846D5C" w14:textId="0DA7F083" w:rsidR="00E87031" w:rsidRPr="00ED172B" w:rsidRDefault="00E55520" w:rsidP="00E87031">
            <w:pPr>
              <w:jc w:val="center"/>
              <w:rPr>
                <w:rFonts w:cs="Arial"/>
                <w:b/>
                <w:color w:val="000000" w:themeColor="text1"/>
                <w:szCs w:val="16"/>
              </w:rPr>
            </w:pPr>
            <w:r>
              <w:rPr>
                <w:rFonts w:cs="Arial"/>
                <w:b/>
                <w:color w:val="000000" w:themeColor="text1"/>
                <w:szCs w:val="16"/>
              </w:rPr>
              <w:t>Outcome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06527863" w14:textId="251D9709" w:rsidR="00E87031" w:rsidRPr="00ED172B" w:rsidRDefault="00E87031" w:rsidP="00E87031">
            <w:pPr>
              <w:jc w:val="center"/>
              <w:rPr>
                <w:rFonts w:cs="Arial"/>
                <w:b/>
                <w:color w:val="000000" w:themeColor="text1"/>
                <w:szCs w:val="16"/>
              </w:rPr>
            </w:pPr>
            <w:r w:rsidRPr="00ED172B">
              <w:rPr>
                <w:rFonts w:cs="Arial"/>
                <w:b/>
                <w:color w:val="000000" w:themeColor="text1"/>
                <w:szCs w:val="16"/>
              </w:rPr>
              <w:t>Baseline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5A2957BE" w14:textId="2C7B03ED" w:rsidR="00E87031" w:rsidRPr="00ED172B" w:rsidRDefault="00E87031" w:rsidP="00E87031">
            <w:pPr>
              <w:jc w:val="center"/>
              <w:rPr>
                <w:rFonts w:cs="Arial"/>
                <w:b/>
                <w:color w:val="000000" w:themeColor="text1"/>
                <w:szCs w:val="16"/>
              </w:rPr>
            </w:pPr>
            <w:r w:rsidRPr="00ED172B">
              <w:rPr>
                <w:rFonts w:cs="Arial"/>
                <w:b/>
                <w:color w:val="000000" w:themeColor="text1"/>
                <w:szCs w:val="16"/>
              </w:rPr>
              <w:t>FFY</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B76558F" w14:textId="074C0C53" w:rsidR="00E87031" w:rsidRPr="00ED172B" w:rsidRDefault="002163F2" w:rsidP="00E87031">
            <w:pPr>
              <w:jc w:val="center"/>
              <w:rPr>
                <w:rFonts w:cs="Arial"/>
                <w:b/>
                <w:color w:val="000000" w:themeColor="text1"/>
                <w:szCs w:val="16"/>
              </w:rPr>
            </w:pPr>
            <w:r w:rsidRPr="00ED172B">
              <w:rPr>
                <w:rFonts w:cs="Arial"/>
                <w:b/>
                <w:color w:val="000000" w:themeColor="text1"/>
                <w:szCs w:val="16"/>
              </w:rPr>
              <w:t>2018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893A07F" w14:textId="1CDA13A9" w:rsidR="00E87031" w:rsidRPr="00ED172B" w:rsidRDefault="002163F2" w:rsidP="00E87031">
            <w:pPr>
              <w:jc w:val="center"/>
              <w:rPr>
                <w:rFonts w:cs="Arial"/>
                <w:b/>
                <w:color w:val="000000" w:themeColor="text1"/>
                <w:szCs w:val="16"/>
              </w:rPr>
            </w:pPr>
            <w:r w:rsidRPr="00ED172B">
              <w:rPr>
                <w:rFonts w:cs="Arial"/>
                <w:b/>
                <w:color w:val="000000" w:themeColor="text1"/>
                <w:szCs w:val="16"/>
              </w:rPr>
              <w:t>2019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B2578E" w14:textId="7026210E" w:rsidR="00E87031" w:rsidRPr="00ED172B" w:rsidRDefault="002163F2" w:rsidP="00E87031">
            <w:pPr>
              <w:jc w:val="center"/>
              <w:rPr>
                <w:rFonts w:cs="Arial"/>
                <w:b/>
                <w:color w:val="000000" w:themeColor="text1"/>
                <w:szCs w:val="16"/>
              </w:rPr>
            </w:pPr>
            <w:r w:rsidRPr="00ED172B">
              <w:rPr>
                <w:rFonts w:cs="Arial"/>
                <w:b/>
                <w:color w:val="000000" w:themeColor="text1"/>
                <w:szCs w:val="16"/>
              </w:rPr>
              <w:t>2020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C945F" w14:textId="2A4DDDFA" w:rsidR="00E87031" w:rsidRPr="00ED172B" w:rsidRDefault="002163F2" w:rsidP="00E87031">
            <w:pPr>
              <w:jc w:val="center"/>
              <w:rPr>
                <w:rFonts w:cs="Arial"/>
                <w:b/>
                <w:color w:val="000000" w:themeColor="text1"/>
                <w:szCs w:val="16"/>
              </w:rPr>
            </w:pPr>
            <w:r w:rsidRPr="00ED172B">
              <w:rPr>
                <w:rFonts w:cs="Arial"/>
                <w:b/>
                <w:color w:val="000000" w:themeColor="text1"/>
                <w:szCs w:val="16"/>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8B07557" w14:textId="0E63ADD4" w:rsidR="00E87031" w:rsidRPr="00ED172B" w:rsidRDefault="006D43D3" w:rsidP="00E87031">
            <w:pPr>
              <w:jc w:val="center"/>
              <w:rPr>
                <w:rFonts w:cs="Arial"/>
                <w:b/>
                <w:color w:val="000000" w:themeColor="text1"/>
                <w:szCs w:val="16"/>
              </w:rPr>
            </w:pPr>
            <w:r w:rsidRPr="00ED172B">
              <w:rPr>
                <w:rFonts w:cs="Arial"/>
                <w:b/>
                <w:color w:val="000000" w:themeColor="text1"/>
                <w:szCs w:val="16"/>
              </w:rPr>
              <w:t>2022</w:t>
            </w:r>
          </w:p>
        </w:tc>
      </w:tr>
      <w:tr w:rsidR="00ED172B" w:rsidRPr="00ED172B" w14:paraId="56A8F97B" w14:textId="64924B4E"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3ABA9B1B"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A1</w:t>
            </w:r>
          </w:p>
        </w:tc>
        <w:tc>
          <w:tcPr>
            <w:tcW w:w="500" w:type="pct"/>
            <w:tcBorders>
              <w:top w:val="single" w:sz="4" w:space="0" w:color="auto"/>
              <w:left w:val="single" w:sz="4" w:space="0" w:color="auto"/>
              <w:right w:val="single" w:sz="4" w:space="0" w:color="auto"/>
            </w:tcBorders>
            <w:shd w:val="clear" w:color="auto" w:fill="auto"/>
          </w:tcPr>
          <w:p w14:paraId="6C9E9448" w14:textId="57CFAE14" w:rsidR="007F3393" w:rsidRPr="00ED172B" w:rsidRDefault="002F5A9E" w:rsidP="00027F39">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64E0C17" w14:textId="211050C8"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D3E35F5" w14:textId="0A5E6B48" w:rsidR="007F3393" w:rsidRPr="00ED172B" w:rsidRDefault="00860830" w:rsidP="00186420">
            <w:pPr>
              <w:jc w:val="center"/>
              <w:rPr>
                <w:rFonts w:cs="Arial"/>
                <w:color w:val="000000" w:themeColor="text1"/>
                <w:szCs w:val="16"/>
              </w:rPr>
            </w:pPr>
            <w:r w:rsidRPr="00ED172B">
              <w:rPr>
                <w:rFonts w:cs="Arial"/>
                <w:color w:val="000000" w:themeColor="text1"/>
                <w:szCs w:val="16"/>
              </w:rPr>
              <w:t>22.00%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9A9F38" w14:textId="09F7D1AD" w:rsidR="007F3393" w:rsidRPr="00ED172B" w:rsidRDefault="00860830" w:rsidP="00186420">
            <w:pPr>
              <w:jc w:val="center"/>
              <w:rPr>
                <w:rFonts w:cs="Arial"/>
                <w:color w:val="000000" w:themeColor="text1"/>
                <w:szCs w:val="16"/>
              </w:rPr>
            </w:pPr>
            <w:r w:rsidRPr="00ED172B">
              <w:rPr>
                <w:rFonts w:cs="Arial"/>
                <w:color w:val="000000" w:themeColor="text1"/>
                <w:szCs w:val="16"/>
              </w:rPr>
              <w:t>45.00%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FCF2F2" w14:textId="0333A0D9" w:rsidR="007F3393" w:rsidRPr="00ED172B" w:rsidRDefault="00860830" w:rsidP="00186420">
            <w:pPr>
              <w:jc w:val="center"/>
              <w:rPr>
                <w:rFonts w:cs="Arial"/>
                <w:color w:val="000000" w:themeColor="text1"/>
                <w:szCs w:val="16"/>
              </w:rPr>
            </w:pPr>
            <w:r w:rsidRPr="00ED172B">
              <w:rPr>
                <w:rFonts w:cs="Arial"/>
                <w:color w:val="000000" w:themeColor="text1"/>
                <w:szCs w:val="16"/>
              </w:rPr>
              <w:t>46.00%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D77E4C" w14:textId="6EAE4922" w:rsidR="007F3393" w:rsidRPr="00ED172B" w:rsidRDefault="00860830" w:rsidP="00186420">
            <w:pPr>
              <w:jc w:val="center"/>
              <w:rPr>
                <w:rFonts w:cs="Arial"/>
                <w:color w:val="000000" w:themeColor="text1"/>
                <w:szCs w:val="16"/>
              </w:rPr>
            </w:pPr>
            <w:r w:rsidRPr="00ED172B">
              <w:rPr>
                <w:rFonts w:cs="Arial"/>
                <w:color w:val="000000" w:themeColor="text1"/>
                <w:szCs w:val="16"/>
              </w:rPr>
              <w:t>47.00%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B5FD670" w14:textId="2F388A90" w:rsidR="007F3393" w:rsidRPr="00ED172B" w:rsidRDefault="00860830" w:rsidP="00186420">
            <w:pPr>
              <w:jc w:val="center"/>
              <w:rPr>
                <w:rFonts w:cs="Arial"/>
                <w:color w:val="000000" w:themeColor="text1"/>
                <w:szCs w:val="16"/>
              </w:rPr>
            </w:pPr>
            <w:r w:rsidRPr="00ED172B">
              <w:rPr>
                <w:rFonts w:cs="Arial"/>
                <w:color w:val="000000" w:themeColor="text1"/>
                <w:szCs w:val="16"/>
              </w:rPr>
              <w:t>48.00%</w:t>
            </w:r>
          </w:p>
        </w:tc>
      </w:tr>
      <w:tr w:rsidR="00ED172B" w:rsidRPr="00ED172B" w14:paraId="0CFAE849" w14:textId="06B25E22" w:rsidTr="00A40EE1">
        <w:trPr>
          <w:trHeight w:val="70"/>
        </w:trPr>
        <w:tc>
          <w:tcPr>
            <w:tcW w:w="500" w:type="pct"/>
            <w:tcBorders>
              <w:left w:val="single" w:sz="4" w:space="0" w:color="auto"/>
              <w:right w:val="single" w:sz="4" w:space="0" w:color="auto"/>
            </w:tcBorders>
            <w:shd w:val="clear" w:color="auto" w:fill="auto"/>
            <w:vAlign w:val="center"/>
          </w:tcPr>
          <w:p w14:paraId="2B77B8BB" w14:textId="30D52AA3" w:rsidR="007F3393"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500" w:type="pct"/>
            <w:tcBorders>
              <w:left w:val="single" w:sz="4" w:space="0" w:color="auto"/>
              <w:right w:val="single" w:sz="4" w:space="0" w:color="auto"/>
            </w:tcBorders>
            <w:shd w:val="clear" w:color="auto" w:fill="auto"/>
          </w:tcPr>
          <w:p w14:paraId="3D9909C2" w14:textId="0A3AFD10" w:rsidR="007F3393" w:rsidRPr="00ED172B" w:rsidRDefault="002F5A9E" w:rsidP="00027F39">
            <w:pPr>
              <w:jc w:val="center"/>
              <w:rPr>
                <w:color w:val="000000" w:themeColor="text1"/>
              </w:rPr>
            </w:pPr>
            <w:r w:rsidRPr="00ED172B">
              <w:rPr>
                <w:color w:val="000000" w:themeColor="text1"/>
              </w:rPr>
              <w:t>20.10%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23D015" w14:textId="1AAB6D9E"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5AA2FDD" w14:textId="0DBF1FA9" w:rsidR="007F3393" w:rsidRPr="00ED172B" w:rsidRDefault="00860830" w:rsidP="00186420">
            <w:pPr>
              <w:jc w:val="center"/>
              <w:rPr>
                <w:rFonts w:cs="Arial"/>
                <w:color w:val="000000" w:themeColor="text1"/>
                <w:szCs w:val="16"/>
              </w:rPr>
            </w:pPr>
            <w:r w:rsidRPr="00ED172B">
              <w:rPr>
                <w:rFonts w:cs="Arial"/>
                <w:color w:val="000000" w:themeColor="text1"/>
                <w:szCs w:val="16"/>
              </w:rPr>
              <w:t>47.90%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811E938" w14:textId="20C0F99C" w:rsidR="007F3393" w:rsidRPr="00ED172B" w:rsidRDefault="00860830" w:rsidP="00186420">
            <w:pPr>
              <w:jc w:val="center"/>
              <w:rPr>
                <w:rFonts w:cs="Arial"/>
                <w:color w:val="000000" w:themeColor="text1"/>
                <w:szCs w:val="16"/>
              </w:rPr>
            </w:pPr>
            <w:r w:rsidRPr="00ED172B">
              <w:rPr>
                <w:rFonts w:cs="Arial"/>
                <w:color w:val="000000" w:themeColor="text1"/>
                <w:szCs w:val="16"/>
              </w:rPr>
              <w:t>46.03%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1006C1" w14:textId="4D74CF50" w:rsidR="007F3393" w:rsidRPr="00ED172B" w:rsidRDefault="00860830" w:rsidP="00186420">
            <w:pPr>
              <w:jc w:val="center"/>
              <w:rPr>
                <w:rFonts w:cs="Arial"/>
                <w:color w:val="000000" w:themeColor="text1"/>
                <w:szCs w:val="16"/>
              </w:rPr>
            </w:pPr>
            <w:r w:rsidRPr="00ED172B">
              <w:rPr>
                <w:rFonts w:cs="Arial"/>
                <w:color w:val="000000" w:themeColor="text1"/>
                <w:szCs w:val="16"/>
              </w:rPr>
              <w:t>47.90%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BED2AE" w14:textId="246E12F8" w:rsidR="007F3393" w:rsidRPr="00ED172B" w:rsidRDefault="00860830" w:rsidP="00186420">
            <w:pPr>
              <w:jc w:val="center"/>
              <w:rPr>
                <w:rFonts w:cs="Arial"/>
                <w:color w:val="000000" w:themeColor="text1"/>
                <w:szCs w:val="16"/>
              </w:rPr>
            </w:pPr>
            <w:r w:rsidRPr="00ED172B">
              <w:rPr>
                <w:rFonts w:cs="Arial"/>
                <w:color w:val="000000" w:themeColor="text1"/>
                <w:szCs w:val="16"/>
              </w:rPr>
              <w:t>44.18%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D1F0DB" w14:textId="2F1A59D5" w:rsidR="007F3393" w:rsidRPr="00ED172B" w:rsidRDefault="00860830" w:rsidP="00186420">
            <w:pPr>
              <w:jc w:val="center"/>
              <w:rPr>
                <w:rFonts w:cs="Arial"/>
                <w:color w:val="000000" w:themeColor="text1"/>
                <w:szCs w:val="16"/>
              </w:rPr>
            </w:pPr>
            <w:r w:rsidRPr="00ED172B">
              <w:rPr>
                <w:rFonts w:cs="Arial"/>
                <w:color w:val="000000" w:themeColor="text1"/>
                <w:szCs w:val="16"/>
              </w:rPr>
              <w:t>39.52%</w:t>
            </w:r>
          </w:p>
        </w:tc>
      </w:tr>
      <w:tr w:rsidR="00ED172B" w:rsidRPr="00ED172B" w14:paraId="71BE68E0" w14:textId="2811C55F"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10ADF87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A2</w:t>
            </w:r>
          </w:p>
        </w:tc>
        <w:tc>
          <w:tcPr>
            <w:tcW w:w="500" w:type="pct"/>
            <w:tcBorders>
              <w:top w:val="single" w:sz="4" w:space="0" w:color="auto"/>
              <w:left w:val="single" w:sz="4" w:space="0" w:color="auto"/>
              <w:right w:val="single" w:sz="4" w:space="0" w:color="auto"/>
            </w:tcBorders>
            <w:shd w:val="clear" w:color="auto" w:fill="auto"/>
          </w:tcPr>
          <w:p w14:paraId="43DACE92" w14:textId="5AD4B85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587C4F0" w14:textId="27288A29"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88FF7F" w14:textId="5949042F" w:rsidR="007F3393" w:rsidRPr="00ED172B" w:rsidRDefault="00860830" w:rsidP="00186420">
            <w:pPr>
              <w:jc w:val="center"/>
              <w:rPr>
                <w:rFonts w:cs="Arial"/>
                <w:color w:val="000000" w:themeColor="text1"/>
                <w:szCs w:val="16"/>
              </w:rPr>
            </w:pPr>
            <w:r w:rsidRPr="00ED172B">
              <w:rPr>
                <w:rFonts w:cs="Arial"/>
                <w:color w:val="000000" w:themeColor="text1"/>
                <w:szCs w:val="16"/>
              </w:rPr>
              <w:t>37.00%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48549B7" w14:textId="61326F3D" w:rsidR="007F3393" w:rsidRPr="00ED172B" w:rsidRDefault="00860830" w:rsidP="00186420">
            <w:pPr>
              <w:jc w:val="center"/>
              <w:rPr>
                <w:rFonts w:cs="Arial"/>
                <w:color w:val="000000" w:themeColor="text1"/>
                <w:szCs w:val="16"/>
              </w:rPr>
            </w:pPr>
            <w:r w:rsidRPr="00ED172B">
              <w:rPr>
                <w:rFonts w:cs="Arial"/>
                <w:color w:val="000000" w:themeColor="text1"/>
                <w:szCs w:val="16"/>
              </w:rPr>
              <w:t>70.00%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C35A5C" w14:textId="66E27423" w:rsidR="007F3393" w:rsidRPr="00ED172B" w:rsidRDefault="00860830" w:rsidP="00186420">
            <w:pPr>
              <w:jc w:val="center"/>
              <w:rPr>
                <w:rFonts w:cs="Arial"/>
                <w:color w:val="000000" w:themeColor="text1"/>
                <w:szCs w:val="16"/>
              </w:rPr>
            </w:pPr>
            <w:r w:rsidRPr="00ED172B">
              <w:rPr>
                <w:rFonts w:cs="Arial"/>
                <w:color w:val="000000" w:themeColor="text1"/>
                <w:szCs w:val="16"/>
              </w:rPr>
              <w:t>70.00%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7ACAB9" w14:textId="188E6205" w:rsidR="007F3393" w:rsidRPr="00ED172B" w:rsidRDefault="00860830" w:rsidP="00186420">
            <w:pPr>
              <w:jc w:val="center"/>
              <w:rPr>
                <w:rFonts w:cs="Arial"/>
                <w:color w:val="000000" w:themeColor="text1"/>
                <w:szCs w:val="16"/>
              </w:rPr>
            </w:pPr>
            <w:r w:rsidRPr="00ED172B">
              <w:rPr>
                <w:rFonts w:cs="Arial"/>
                <w:color w:val="000000" w:themeColor="text1"/>
                <w:szCs w:val="16"/>
              </w:rPr>
              <w:t>70.00%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CCD8FBF" w14:textId="29532499" w:rsidR="007F3393" w:rsidRPr="00ED172B" w:rsidRDefault="00860830" w:rsidP="00186420">
            <w:pPr>
              <w:jc w:val="center"/>
              <w:rPr>
                <w:rFonts w:cs="Arial"/>
                <w:color w:val="000000" w:themeColor="text1"/>
                <w:szCs w:val="16"/>
              </w:rPr>
            </w:pPr>
            <w:r w:rsidRPr="00ED172B">
              <w:rPr>
                <w:rFonts w:cs="Arial"/>
                <w:color w:val="000000" w:themeColor="text1"/>
                <w:szCs w:val="16"/>
              </w:rPr>
              <w:t>70.00%</w:t>
            </w:r>
          </w:p>
        </w:tc>
      </w:tr>
      <w:tr w:rsidR="00ED172B" w:rsidRPr="00ED172B" w14:paraId="5FF383D1" w14:textId="0510821C" w:rsidTr="00A40EE1">
        <w:trPr>
          <w:trHeight w:val="85"/>
        </w:trPr>
        <w:tc>
          <w:tcPr>
            <w:tcW w:w="500" w:type="pct"/>
            <w:tcBorders>
              <w:left w:val="single" w:sz="4" w:space="0" w:color="auto"/>
              <w:right w:val="single" w:sz="4" w:space="0" w:color="auto"/>
            </w:tcBorders>
            <w:shd w:val="clear" w:color="auto" w:fill="auto"/>
            <w:vAlign w:val="center"/>
          </w:tcPr>
          <w:p w14:paraId="30CA4CFE" w14:textId="0ACEEEEE" w:rsidR="007F3393"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500" w:type="pct"/>
            <w:tcBorders>
              <w:left w:val="single" w:sz="4" w:space="0" w:color="auto"/>
              <w:right w:val="single" w:sz="4" w:space="0" w:color="auto"/>
            </w:tcBorders>
            <w:shd w:val="clear" w:color="auto" w:fill="auto"/>
          </w:tcPr>
          <w:p w14:paraId="1FF3C8CD" w14:textId="714FC585" w:rsidR="007F3393" w:rsidRPr="00ED172B" w:rsidRDefault="001E39E3" w:rsidP="001E39E3">
            <w:pPr>
              <w:jc w:val="center"/>
              <w:rPr>
                <w:color w:val="000000" w:themeColor="text1"/>
              </w:rPr>
            </w:pPr>
            <w:r w:rsidRPr="00ED172B">
              <w:rPr>
                <w:color w:val="000000" w:themeColor="text1"/>
              </w:rPr>
              <w:t>32.40%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108850" w14:textId="3C3387F6"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E9C5EF4" w14:textId="5AC20942" w:rsidR="007F3393" w:rsidRPr="00ED172B" w:rsidRDefault="00860830" w:rsidP="00186420">
            <w:pPr>
              <w:jc w:val="center"/>
              <w:rPr>
                <w:rFonts w:cs="Arial"/>
                <w:color w:val="000000" w:themeColor="text1"/>
                <w:szCs w:val="16"/>
              </w:rPr>
            </w:pPr>
            <w:r w:rsidRPr="00ED172B">
              <w:rPr>
                <w:rFonts w:cs="Arial"/>
                <w:color w:val="000000" w:themeColor="text1"/>
                <w:szCs w:val="16"/>
              </w:rPr>
              <w:t>70.38%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71C8240" w14:textId="0FC7F794" w:rsidR="007F3393" w:rsidRPr="00ED172B" w:rsidRDefault="00860830" w:rsidP="00186420">
            <w:pPr>
              <w:jc w:val="center"/>
              <w:rPr>
                <w:rFonts w:cs="Arial"/>
                <w:color w:val="000000" w:themeColor="text1"/>
                <w:szCs w:val="16"/>
              </w:rPr>
            </w:pPr>
            <w:r w:rsidRPr="00ED172B">
              <w:rPr>
                <w:rFonts w:cs="Arial"/>
                <w:color w:val="000000" w:themeColor="text1"/>
                <w:szCs w:val="16"/>
              </w:rPr>
              <w:t>68.86%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2A6DD1" w14:textId="74D9AD4B" w:rsidR="007F3393" w:rsidRPr="00ED172B" w:rsidRDefault="00860830" w:rsidP="00186420">
            <w:pPr>
              <w:jc w:val="center"/>
              <w:rPr>
                <w:rFonts w:cs="Arial"/>
                <w:color w:val="000000" w:themeColor="text1"/>
                <w:szCs w:val="16"/>
              </w:rPr>
            </w:pPr>
            <w:r w:rsidRPr="00ED172B">
              <w:rPr>
                <w:rFonts w:cs="Arial"/>
                <w:color w:val="000000" w:themeColor="text1"/>
                <w:szCs w:val="16"/>
              </w:rPr>
              <w:t>69.95%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14399EF" w14:textId="1090E311" w:rsidR="007F3393" w:rsidRPr="00ED172B" w:rsidRDefault="00860830" w:rsidP="00186420">
            <w:pPr>
              <w:jc w:val="center"/>
              <w:rPr>
                <w:rFonts w:cs="Arial"/>
                <w:color w:val="000000" w:themeColor="text1"/>
                <w:szCs w:val="16"/>
              </w:rPr>
            </w:pPr>
            <w:r w:rsidRPr="00ED172B">
              <w:rPr>
                <w:rFonts w:cs="Arial"/>
                <w:color w:val="000000" w:themeColor="text1"/>
                <w:szCs w:val="16"/>
              </w:rPr>
              <w:t>69.15%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5C18FA" w14:textId="07C7E8D6" w:rsidR="007F3393" w:rsidRPr="00ED172B" w:rsidRDefault="00860830" w:rsidP="00186420">
            <w:pPr>
              <w:jc w:val="center"/>
              <w:rPr>
                <w:rFonts w:cs="Arial"/>
                <w:color w:val="000000" w:themeColor="text1"/>
                <w:szCs w:val="16"/>
              </w:rPr>
            </w:pPr>
            <w:r w:rsidRPr="00ED172B">
              <w:rPr>
                <w:rFonts w:cs="Arial"/>
                <w:color w:val="000000" w:themeColor="text1"/>
                <w:szCs w:val="16"/>
              </w:rPr>
              <w:t>67.22%</w:t>
            </w:r>
          </w:p>
        </w:tc>
      </w:tr>
      <w:tr w:rsidR="00ED172B" w:rsidRPr="00ED172B" w14:paraId="2AA87AA8" w14:textId="1937207D" w:rsidTr="00A40EE1">
        <w:trPr>
          <w:trHeight w:val="85"/>
        </w:trPr>
        <w:tc>
          <w:tcPr>
            <w:tcW w:w="500" w:type="pct"/>
            <w:tcBorders>
              <w:left w:val="single" w:sz="4" w:space="0" w:color="auto"/>
              <w:right w:val="single" w:sz="4" w:space="0" w:color="auto"/>
            </w:tcBorders>
            <w:shd w:val="clear" w:color="auto" w:fill="auto"/>
            <w:vAlign w:val="center"/>
          </w:tcPr>
          <w:p w14:paraId="1C14C637"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39588FDE" w14:textId="696ED36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CF33BD" w14:textId="75AFBFB2"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55EE6B" w14:textId="7259FFC1" w:rsidR="007F3393" w:rsidRPr="00ED172B" w:rsidRDefault="00860830" w:rsidP="00186420">
            <w:pPr>
              <w:jc w:val="center"/>
              <w:rPr>
                <w:rFonts w:cs="Arial"/>
                <w:color w:val="000000" w:themeColor="text1"/>
                <w:szCs w:val="16"/>
              </w:rPr>
            </w:pPr>
            <w:r w:rsidRPr="00ED172B">
              <w:rPr>
                <w:rFonts w:cs="Arial"/>
                <w:color w:val="000000" w:themeColor="text1"/>
                <w:szCs w:val="16"/>
              </w:rPr>
              <w:t>43.10%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C51D3EF" w14:textId="01B58521" w:rsidR="007F3393" w:rsidRPr="00ED172B" w:rsidRDefault="00860830" w:rsidP="00186420">
            <w:pPr>
              <w:jc w:val="center"/>
              <w:rPr>
                <w:rFonts w:cs="Arial"/>
                <w:color w:val="000000" w:themeColor="text1"/>
                <w:szCs w:val="16"/>
              </w:rPr>
            </w:pPr>
            <w:r w:rsidRPr="00ED172B">
              <w:rPr>
                <w:rFonts w:cs="Arial"/>
                <w:color w:val="000000" w:themeColor="text1"/>
                <w:szCs w:val="16"/>
              </w:rPr>
              <w:t>74.00%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90FA9BB" w14:textId="2BC0F9C3" w:rsidR="007F3393" w:rsidRPr="00ED172B" w:rsidRDefault="00860830" w:rsidP="00186420">
            <w:pPr>
              <w:jc w:val="center"/>
              <w:rPr>
                <w:rFonts w:cs="Arial"/>
                <w:color w:val="000000" w:themeColor="text1"/>
                <w:szCs w:val="16"/>
              </w:rPr>
            </w:pPr>
            <w:r w:rsidRPr="00ED172B">
              <w:rPr>
                <w:rFonts w:cs="Arial"/>
                <w:color w:val="000000" w:themeColor="text1"/>
                <w:szCs w:val="16"/>
              </w:rPr>
              <w:t>74.00%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2E6D0" w14:textId="253A7F37" w:rsidR="007F3393" w:rsidRPr="00ED172B" w:rsidRDefault="00860830" w:rsidP="00186420">
            <w:pPr>
              <w:jc w:val="center"/>
              <w:rPr>
                <w:rFonts w:cs="Arial"/>
                <w:color w:val="000000" w:themeColor="text1"/>
                <w:szCs w:val="16"/>
              </w:rPr>
            </w:pPr>
            <w:r w:rsidRPr="00ED172B">
              <w:rPr>
                <w:rFonts w:cs="Arial"/>
                <w:color w:val="000000" w:themeColor="text1"/>
                <w:szCs w:val="16"/>
              </w:rPr>
              <w:t>74.00%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E623F0" w14:textId="502F3580" w:rsidR="007F3393" w:rsidRPr="00ED172B" w:rsidRDefault="00860830" w:rsidP="00186420">
            <w:pPr>
              <w:jc w:val="center"/>
              <w:rPr>
                <w:rFonts w:cs="Arial"/>
                <w:color w:val="000000" w:themeColor="text1"/>
                <w:szCs w:val="16"/>
              </w:rPr>
            </w:pPr>
            <w:r w:rsidRPr="00ED172B">
              <w:rPr>
                <w:rFonts w:cs="Arial"/>
                <w:color w:val="000000" w:themeColor="text1"/>
                <w:szCs w:val="16"/>
              </w:rPr>
              <w:t>74.00%</w:t>
            </w:r>
          </w:p>
        </w:tc>
      </w:tr>
      <w:tr w:rsidR="00ED172B" w:rsidRPr="00ED172B" w14:paraId="4C672FEA" w14:textId="01FDA7CD" w:rsidTr="00A40EE1">
        <w:trPr>
          <w:trHeight w:val="85"/>
        </w:trPr>
        <w:tc>
          <w:tcPr>
            <w:tcW w:w="500" w:type="pct"/>
            <w:tcBorders>
              <w:left w:val="single" w:sz="4" w:space="0" w:color="auto"/>
              <w:right w:val="single" w:sz="4" w:space="0" w:color="auto"/>
            </w:tcBorders>
            <w:shd w:val="clear" w:color="auto" w:fill="auto"/>
            <w:vAlign w:val="center"/>
          </w:tcPr>
          <w:p w14:paraId="1C7640BF" w14:textId="7D0D37E0" w:rsidR="007F3393"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69E33770" w14:textId="01EC7630" w:rsidR="007F3393" w:rsidRPr="00ED172B" w:rsidRDefault="001E39E3" w:rsidP="001E39E3">
            <w:pPr>
              <w:jc w:val="center"/>
              <w:rPr>
                <w:color w:val="000000" w:themeColor="text1"/>
              </w:rPr>
            </w:pPr>
            <w:r w:rsidRPr="00ED172B">
              <w:rPr>
                <w:color w:val="000000" w:themeColor="text1"/>
              </w:rPr>
              <w:t>42.60%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2CC62D" w14:textId="1594007B"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0DCA9B4" w14:textId="6EA13EC7" w:rsidR="007F3393" w:rsidRPr="00ED172B" w:rsidRDefault="00860830" w:rsidP="00186420">
            <w:pPr>
              <w:jc w:val="center"/>
              <w:rPr>
                <w:rFonts w:cs="Arial"/>
                <w:color w:val="000000" w:themeColor="text1"/>
                <w:szCs w:val="16"/>
              </w:rPr>
            </w:pPr>
            <w:r w:rsidRPr="00ED172B">
              <w:rPr>
                <w:rFonts w:cs="Arial"/>
                <w:color w:val="000000" w:themeColor="text1"/>
                <w:szCs w:val="16"/>
              </w:rPr>
              <w:t>75.43%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517B1B9" w14:textId="7C2329EF" w:rsidR="007F3393" w:rsidRPr="00ED172B" w:rsidRDefault="00860830" w:rsidP="00186420">
            <w:pPr>
              <w:jc w:val="center"/>
              <w:rPr>
                <w:rFonts w:cs="Arial"/>
                <w:color w:val="000000" w:themeColor="text1"/>
                <w:szCs w:val="16"/>
              </w:rPr>
            </w:pPr>
            <w:r w:rsidRPr="00ED172B">
              <w:rPr>
                <w:rFonts w:cs="Arial"/>
                <w:color w:val="000000" w:themeColor="text1"/>
                <w:szCs w:val="16"/>
              </w:rPr>
              <w:t>70.35%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435A57" w14:textId="3F8D5242" w:rsidR="007F3393" w:rsidRPr="00ED172B" w:rsidRDefault="00860830" w:rsidP="00186420">
            <w:pPr>
              <w:jc w:val="center"/>
              <w:rPr>
                <w:rFonts w:cs="Arial"/>
                <w:color w:val="000000" w:themeColor="text1"/>
                <w:szCs w:val="16"/>
              </w:rPr>
            </w:pPr>
            <w:r w:rsidRPr="00ED172B">
              <w:rPr>
                <w:rFonts w:cs="Arial"/>
                <w:color w:val="000000" w:themeColor="text1"/>
                <w:szCs w:val="16"/>
              </w:rPr>
              <w:t>70.78%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259B183" w14:textId="3A5E4139" w:rsidR="007F3393" w:rsidRPr="00ED172B" w:rsidRDefault="00860830" w:rsidP="00186420">
            <w:pPr>
              <w:jc w:val="center"/>
              <w:rPr>
                <w:rFonts w:cs="Arial"/>
                <w:color w:val="000000" w:themeColor="text1"/>
                <w:szCs w:val="16"/>
              </w:rPr>
            </w:pPr>
            <w:r w:rsidRPr="00ED172B">
              <w:rPr>
                <w:rFonts w:cs="Arial"/>
                <w:color w:val="000000" w:themeColor="text1"/>
                <w:szCs w:val="16"/>
              </w:rPr>
              <w:t>68.76%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1B0F74" w14:textId="049E0D7D" w:rsidR="007F3393" w:rsidRPr="00ED172B" w:rsidRDefault="00860830" w:rsidP="00186420">
            <w:pPr>
              <w:jc w:val="center"/>
              <w:rPr>
                <w:rFonts w:cs="Arial"/>
                <w:color w:val="000000" w:themeColor="text1"/>
                <w:szCs w:val="16"/>
              </w:rPr>
            </w:pPr>
            <w:r w:rsidRPr="00ED172B">
              <w:rPr>
                <w:rFonts w:cs="Arial"/>
                <w:color w:val="000000" w:themeColor="text1"/>
                <w:szCs w:val="16"/>
              </w:rPr>
              <w:t>69.04%</w:t>
            </w:r>
          </w:p>
        </w:tc>
      </w:tr>
      <w:tr w:rsidR="00ED172B" w:rsidRPr="00ED172B" w14:paraId="0CF579FA" w14:textId="582CC6E2" w:rsidTr="00A40EE1">
        <w:trPr>
          <w:trHeight w:val="85"/>
        </w:trPr>
        <w:tc>
          <w:tcPr>
            <w:tcW w:w="500" w:type="pct"/>
            <w:tcBorders>
              <w:left w:val="single" w:sz="4" w:space="0" w:color="auto"/>
              <w:right w:val="single" w:sz="4" w:space="0" w:color="auto"/>
            </w:tcBorders>
            <w:shd w:val="clear" w:color="auto" w:fill="auto"/>
            <w:vAlign w:val="center"/>
          </w:tcPr>
          <w:p w14:paraId="2DA5EF76"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49171D03" w14:textId="1C5F6C63"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A9A63F" w14:textId="3E244525"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16F7C03" w14:textId="107D6786" w:rsidR="007F3393" w:rsidRPr="00ED172B" w:rsidRDefault="00860830" w:rsidP="00186420">
            <w:pPr>
              <w:jc w:val="center"/>
              <w:rPr>
                <w:rFonts w:cs="Arial"/>
                <w:color w:val="000000" w:themeColor="text1"/>
                <w:szCs w:val="16"/>
              </w:rPr>
            </w:pPr>
            <w:r w:rsidRPr="00ED172B">
              <w:rPr>
                <w:rFonts w:cs="Arial"/>
                <w:color w:val="000000" w:themeColor="text1"/>
                <w:szCs w:val="16"/>
              </w:rPr>
              <w:t>34.00%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A375D4" w14:textId="35F9334E" w:rsidR="007F3393" w:rsidRPr="00ED172B" w:rsidRDefault="00860830" w:rsidP="00186420">
            <w:pPr>
              <w:jc w:val="center"/>
              <w:rPr>
                <w:rFonts w:cs="Arial"/>
                <w:color w:val="000000" w:themeColor="text1"/>
                <w:szCs w:val="16"/>
              </w:rPr>
            </w:pPr>
            <w:r w:rsidRPr="00ED172B">
              <w:rPr>
                <w:rFonts w:cs="Arial"/>
                <w:color w:val="000000" w:themeColor="text1"/>
                <w:szCs w:val="16"/>
              </w:rPr>
              <w:t>34.50%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C17F268" w14:textId="343216F2" w:rsidR="007F3393" w:rsidRPr="00ED172B" w:rsidRDefault="00860830" w:rsidP="00186420">
            <w:pPr>
              <w:jc w:val="center"/>
              <w:rPr>
                <w:rFonts w:cs="Arial"/>
                <w:color w:val="000000" w:themeColor="text1"/>
                <w:szCs w:val="16"/>
              </w:rPr>
            </w:pPr>
            <w:r w:rsidRPr="00ED172B">
              <w:rPr>
                <w:rFonts w:cs="Arial"/>
                <w:color w:val="000000" w:themeColor="text1"/>
                <w:szCs w:val="16"/>
              </w:rPr>
              <w:t>34.50%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B0ACA2E" w14:textId="00A71311" w:rsidR="007F3393" w:rsidRPr="00ED172B" w:rsidRDefault="00860830" w:rsidP="00186420">
            <w:pPr>
              <w:jc w:val="center"/>
              <w:rPr>
                <w:rFonts w:cs="Arial"/>
                <w:color w:val="000000" w:themeColor="text1"/>
                <w:szCs w:val="16"/>
              </w:rPr>
            </w:pPr>
            <w:r w:rsidRPr="00ED172B">
              <w:rPr>
                <w:rFonts w:cs="Arial"/>
                <w:color w:val="000000" w:themeColor="text1"/>
                <w:szCs w:val="16"/>
              </w:rPr>
              <w:t>34.50%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6B2AE" w14:textId="24931BCA" w:rsidR="007F3393" w:rsidRPr="00ED172B" w:rsidRDefault="00860830" w:rsidP="00186420">
            <w:pPr>
              <w:jc w:val="center"/>
              <w:rPr>
                <w:rFonts w:cs="Arial"/>
                <w:color w:val="000000" w:themeColor="text1"/>
                <w:szCs w:val="16"/>
              </w:rPr>
            </w:pPr>
            <w:r w:rsidRPr="00ED172B">
              <w:rPr>
                <w:rFonts w:cs="Arial"/>
                <w:color w:val="000000" w:themeColor="text1"/>
                <w:szCs w:val="16"/>
              </w:rPr>
              <w:t>34.50%</w:t>
            </w:r>
          </w:p>
        </w:tc>
      </w:tr>
      <w:tr w:rsidR="00ED172B" w:rsidRPr="00ED172B" w14:paraId="0819AD9E" w14:textId="6F918A3C" w:rsidTr="00A40EE1">
        <w:trPr>
          <w:trHeight w:val="85"/>
        </w:trPr>
        <w:tc>
          <w:tcPr>
            <w:tcW w:w="500" w:type="pct"/>
            <w:tcBorders>
              <w:left w:val="single" w:sz="4" w:space="0" w:color="auto"/>
              <w:right w:val="single" w:sz="4" w:space="0" w:color="auto"/>
            </w:tcBorders>
            <w:shd w:val="clear" w:color="auto" w:fill="auto"/>
            <w:vAlign w:val="center"/>
          </w:tcPr>
          <w:p w14:paraId="40551B1A" w14:textId="5C8972CA" w:rsidR="007F3393"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01909DF8" w14:textId="793CE1CD" w:rsidR="007F3393" w:rsidRPr="00ED172B" w:rsidRDefault="001E39E3" w:rsidP="001E39E3">
            <w:pPr>
              <w:jc w:val="center"/>
              <w:rPr>
                <w:color w:val="000000" w:themeColor="text1"/>
              </w:rPr>
            </w:pPr>
            <w:r w:rsidRPr="00ED172B">
              <w:rPr>
                <w:color w:val="000000" w:themeColor="text1"/>
              </w:rPr>
              <w:t>28.90%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71211AB" w14:textId="16C0E7FD"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993F2E" w14:textId="7B3662A2" w:rsidR="007F3393" w:rsidRPr="00ED172B" w:rsidRDefault="00860830" w:rsidP="00186420">
            <w:pPr>
              <w:jc w:val="center"/>
              <w:rPr>
                <w:rFonts w:cs="Arial"/>
                <w:color w:val="000000" w:themeColor="text1"/>
                <w:szCs w:val="16"/>
              </w:rPr>
            </w:pPr>
            <w:r w:rsidRPr="00ED172B">
              <w:rPr>
                <w:rFonts w:cs="Arial"/>
                <w:color w:val="000000" w:themeColor="text1"/>
                <w:szCs w:val="16"/>
              </w:rPr>
              <w:t>34.62%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A1E9C9" w14:textId="02A0C2DE" w:rsidR="007F3393" w:rsidRPr="00ED172B" w:rsidRDefault="00860830" w:rsidP="00186420">
            <w:pPr>
              <w:jc w:val="center"/>
              <w:rPr>
                <w:rFonts w:cs="Arial"/>
                <w:color w:val="000000" w:themeColor="text1"/>
                <w:szCs w:val="16"/>
              </w:rPr>
            </w:pPr>
            <w:r w:rsidRPr="00ED172B">
              <w:rPr>
                <w:rFonts w:cs="Arial"/>
                <w:color w:val="000000" w:themeColor="text1"/>
                <w:szCs w:val="16"/>
              </w:rPr>
              <w:t>30.50%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AF85751" w14:textId="4BF87C6F" w:rsidR="007F3393" w:rsidRPr="00ED172B" w:rsidRDefault="00860830" w:rsidP="00186420">
            <w:pPr>
              <w:jc w:val="center"/>
              <w:rPr>
                <w:rFonts w:cs="Arial"/>
                <w:color w:val="000000" w:themeColor="text1"/>
                <w:szCs w:val="16"/>
              </w:rPr>
            </w:pPr>
            <w:r w:rsidRPr="00ED172B">
              <w:rPr>
                <w:rFonts w:cs="Arial"/>
                <w:color w:val="000000" w:themeColor="text1"/>
                <w:szCs w:val="16"/>
              </w:rPr>
              <w:t>27.21%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78159E0" w14:textId="76181F6C" w:rsidR="007F3393" w:rsidRPr="00ED172B" w:rsidRDefault="00860830" w:rsidP="00186420">
            <w:pPr>
              <w:jc w:val="center"/>
              <w:rPr>
                <w:rFonts w:cs="Arial"/>
                <w:color w:val="000000" w:themeColor="text1"/>
                <w:szCs w:val="16"/>
              </w:rPr>
            </w:pPr>
            <w:r w:rsidRPr="00ED172B">
              <w:rPr>
                <w:rFonts w:cs="Arial"/>
                <w:color w:val="000000" w:themeColor="text1"/>
                <w:szCs w:val="16"/>
              </w:rPr>
              <w:t>28.73%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711582" w14:textId="71938F4C" w:rsidR="007F3393" w:rsidRPr="00ED172B" w:rsidRDefault="00860830" w:rsidP="00186420">
            <w:pPr>
              <w:jc w:val="center"/>
              <w:rPr>
                <w:rFonts w:cs="Arial"/>
                <w:color w:val="000000" w:themeColor="text1"/>
                <w:szCs w:val="16"/>
              </w:rPr>
            </w:pPr>
            <w:r w:rsidRPr="00ED172B">
              <w:rPr>
                <w:rFonts w:cs="Arial"/>
                <w:color w:val="000000" w:themeColor="text1"/>
                <w:szCs w:val="16"/>
              </w:rPr>
              <w:t>27.21%</w:t>
            </w:r>
          </w:p>
        </w:tc>
      </w:tr>
      <w:tr w:rsidR="00ED172B" w:rsidRPr="00ED172B" w14:paraId="2558149F" w14:textId="365303DA" w:rsidTr="00A40EE1">
        <w:trPr>
          <w:trHeight w:val="85"/>
        </w:trPr>
        <w:tc>
          <w:tcPr>
            <w:tcW w:w="500" w:type="pct"/>
            <w:tcBorders>
              <w:left w:val="single" w:sz="4" w:space="0" w:color="auto"/>
              <w:right w:val="single" w:sz="4" w:space="0" w:color="auto"/>
            </w:tcBorders>
            <w:shd w:val="clear" w:color="auto" w:fill="auto"/>
            <w:vAlign w:val="center"/>
          </w:tcPr>
          <w:p w14:paraId="5C263B12"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514DA1F" w14:textId="742A8474"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B18FC00" w14:textId="3A9DD918"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34EE947" w14:textId="549E4259" w:rsidR="007F3393" w:rsidRPr="00ED172B" w:rsidRDefault="00860830" w:rsidP="00186420">
            <w:pPr>
              <w:jc w:val="center"/>
              <w:rPr>
                <w:rFonts w:cs="Arial"/>
                <w:color w:val="000000" w:themeColor="text1"/>
                <w:szCs w:val="16"/>
              </w:rPr>
            </w:pPr>
            <w:r w:rsidRPr="00ED172B">
              <w:rPr>
                <w:rFonts w:cs="Arial"/>
                <w:color w:val="000000" w:themeColor="text1"/>
                <w:szCs w:val="16"/>
              </w:rPr>
              <w:t>29.60%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1A22466" w14:textId="56644392" w:rsidR="007F3393" w:rsidRPr="00ED172B" w:rsidRDefault="00860830" w:rsidP="00186420">
            <w:pPr>
              <w:jc w:val="center"/>
              <w:rPr>
                <w:rFonts w:cs="Arial"/>
                <w:color w:val="000000" w:themeColor="text1"/>
                <w:szCs w:val="16"/>
              </w:rPr>
            </w:pPr>
            <w:r w:rsidRPr="00ED172B">
              <w:rPr>
                <w:rFonts w:cs="Arial"/>
                <w:color w:val="000000" w:themeColor="text1"/>
                <w:szCs w:val="16"/>
              </w:rPr>
              <w:t>87.00%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42B6B08" w14:textId="5F811FD0" w:rsidR="007F3393" w:rsidRPr="00ED172B" w:rsidRDefault="00860830" w:rsidP="00186420">
            <w:pPr>
              <w:jc w:val="center"/>
              <w:rPr>
                <w:rFonts w:cs="Arial"/>
                <w:color w:val="000000" w:themeColor="text1"/>
                <w:szCs w:val="16"/>
              </w:rPr>
            </w:pPr>
            <w:r w:rsidRPr="00ED172B">
              <w:rPr>
                <w:rFonts w:cs="Arial"/>
                <w:color w:val="000000" w:themeColor="text1"/>
                <w:szCs w:val="16"/>
              </w:rPr>
              <w:t>87.00%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A11B7B" w14:textId="77AE5E5A" w:rsidR="007F3393" w:rsidRPr="00ED172B" w:rsidRDefault="00860830" w:rsidP="00186420">
            <w:pPr>
              <w:jc w:val="center"/>
              <w:rPr>
                <w:rFonts w:cs="Arial"/>
                <w:color w:val="000000" w:themeColor="text1"/>
                <w:szCs w:val="16"/>
              </w:rPr>
            </w:pPr>
            <w:r w:rsidRPr="00ED172B">
              <w:rPr>
                <w:rFonts w:cs="Arial"/>
                <w:color w:val="000000" w:themeColor="text1"/>
                <w:szCs w:val="16"/>
              </w:rPr>
              <w:t>87.00%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9C7A40E" w14:textId="7766A332" w:rsidR="007F3393" w:rsidRPr="00ED172B" w:rsidRDefault="00860830" w:rsidP="00186420">
            <w:pPr>
              <w:jc w:val="center"/>
              <w:rPr>
                <w:rFonts w:cs="Arial"/>
                <w:color w:val="000000" w:themeColor="text1"/>
                <w:szCs w:val="16"/>
              </w:rPr>
            </w:pPr>
            <w:r w:rsidRPr="00ED172B">
              <w:rPr>
                <w:rFonts w:cs="Arial"/>
                <w:color w:val="000000" w:themeColor="text1"/>
                <w:szCs w:val="16"/>
              </w:rPr>
              <w:t>87.00%</w:t>
            </w:r>
          </w:p>
        </w:tc>
      </w:tr>
      <w:tr w:rsidR="00ED172B" w:rsidRPr="00ED172B" w14:paraId="7E8097AB" w14:textId="6AED691A" w:rsidTr="00A40EE1">
        <w:trPr>
          <w:trHeight w:val="85"/>
        </w:trPr>
        <w:tc>
          <w:tcPr>
            <w:tcW w:w="500" w:type="pct"/>
            <w:tcBorders>
              <w:left w:val="single" w:sz="4" w:space="0" w:color="auto"/>
              <w:right w:val="single" w:sz="4" w:space="0" w:color="auto"/>
            </w:tcBorders>
            <w:shd w:val="clear" w:color="auto" w:fill="auto"/>
            <w:vAlign w:val="center"/>
          </w:tcPr>
          <w:p w14:paraId="3F1BEAB5" w14:textId="12597FC2" w:rsidR="007F3393" w:rsidRPr="00ED172B" w:rsidRDefault="006935F4"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ABF02F2" w14:textId="643EB7D5" w:rsidR="007F3393" w:rsidRPr="00ED172B" w:rsidRDefault="005C14C2" w:rsidP="005C14C2">
            <w:pPr>
              <w:jc w:val="center"/>
              <w:rPr>
                <w:color w:val="000000" w:themeColor="text1"/>
              </w:rPr>
            </w:pPr>
            <w:r w:rsidRPr="00ED172B">
              <w:rPr>
                <w:color w:val="000000" w:themeColor="text1"/>
              </w:rPr>
              <w:t>29.10%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BBE2D9" w14:textId="0C00836F"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52F9C01" w14:textId="16C2CF9B" w:rsidR="007F3393" w:rsidRPr="00ED172B" w:rsidRDefault="00860830" w:rsidP="00186420">
            <w:pPr>
              <w:jc w:val="center"/>
              <w:rPr>
                <w:rFonts w:cs="Arial"/>
                <w:color w:val="000000" w:themeColor="text1"/>
                <w:szCs w:val="16"/>
              </w:rPr>
            </w:pPr>
            <w:r w:rsidRPr="00ED172B">
              <w:rPr>
                <w:rFonts w:cs="Arial"/>
                <w:color w:val="000000" w:themeColor="text1"/>
                <w:szCs w:val="16"/>
              </w:rPr>
              <w:t>87.44%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43FA2F" w14:textId="70AEBF5C" w:rsidR="007F3393" w:rsidRPr="00ED172B" w:rsidRDefault="00860830" w:rsidP="00186420">
            <w:pPr>
              <w:jc w:val="center"/>
              <w:rPr>
                <w:rFonts w:cs="Arial"/>
                <w:color w:val="000000" w:themeColor="text1"/>
                <w:szCs w:val="16"/>
              </w:rPr>
            </w:pPr>
            <w:r w:rsidRPr="00ED172B">
              <w:rPr>
                <w:rFonts w:cs="Arial"/>
                <w:color w:val="000000" w:themeColor="text1"/>
                <w:szCs w:val="16"/>
              </w:rPr>
              <w:t>86.10%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FAA33F8" w14:textId="6896E2C5" w:rsidR="007F3393" w:rsidRPr="00ED172B" w:rsidRDefault="00860830" w:rsidP="00186420">
            <w:pPr>
              <w:jc w:val="center"/>
              <w:rPr>
                <w:rFonts w:cs="Arial"/>
                <w:color w:val="000000" w:themeColor="text1"/>
                <w:szCs w:val="16"/>
              </w:rPr>
            </w:pPr>
            <w:r w:rsidRPr="00ED172B">
              <w:rPr>
                <w:rFonts w:cs="Arial"/>
                <w:color w:val="000000" w:themeColor="text1"/>
                <w:szCs w:val="16"/>
              </w:rPr>
              <w:t>84.87%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4AF07B" w14:textId="67E33A4F" w:rsidR="007F3393" w:rsidRPr="00ED172B" w:rsidRDefault="00860830" w:rsidP="00186420">
            <w:pPr>
              <w:jc w:val="center"/>
              <w:rPr>
                <w:rFonts w:cs="Arial"/>
                <w:color w:val="000000" w:themeColor="text1"/>
                <w:szCs w:val="16"/>
              </w:rPr>
            </w:pPr>
            <w:r w:rsidRPr="00ED172B">
              <w:rPr>
                <w:rFonts w:cs="Arial"/>
                <w:color w:val="000000" w:themeColor="text1"/>
                <w:szCs w:val="16"/>
              </w:rPr>
              <w:t>84.02%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0E5F73E" w14:textId="3A174FE7" w:rsidR="007F3393" w:rsidRPr="00ED172B" w:rsidRDefault="00860830" w:rsidP="00186420">
            <w:pPr>
              <w:jc w:val="center"/>
              <w:rPr>
                <w:rFonts w:cs="Arial"/>
                <w:color w:val="000000" w:themeColor="text1"/>
                <w:szCs w:val="16"/>
              </w:rPr>
            </w:pPr>
            <w:r w:rsidRPr="00ED172B">
              <w:rPr>
                <w:rFonts w:cs="Arial"/>
                <w:color w:val="000000" w:themeColor="text1"/>
                <w:szCs w:val="16"/>
              </w:rPr>
              <w:t>85.45%</w:t>
            </w:r>
          </w:p>
        </w:tc>
      </w:tr>
      <w:tr w:rsidR="00ED172B" w:rsidRPr="00ED172B" w14:paraId="6FC9AE83" w14:textId="014AD57A" w:rsidTr="00A40EE1">
        <w:trPr>
          <w:trHeight w:val="85"/>
        </w:trPr>
        <w:tc>
          <w:tcPr>
            <w:tcW w:w="500" w:type="pct"/>
            <w:tcBorders>
              <w:left w:val="single" w:sz="4" w:space="0" w:color="auto"/>
              <w:right w:val="single" w:sz="4" w:space="0" w:color="auto"/>
            </w:tcBorders>
            <w:shd w:val="clear" w:color="auto" w:fill="auto"/>
            <w:vAlign w:val="center"/>
          </w:tcPr>
          <w:p w14:paraId="26477C0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32CA0D86" w14:textId="7D347F75"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67610F" w14:textId="378FA2C9"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A378A83" w14:textId="1C64C8F8" w:rsidR="007F3393" w:rsidRPr="00ED172B" w:rsidRDefault="00860830" w:rsidP="00186420">
            <w:pPr>
              <w:jc w:val="center"/>
              <w:rPr>
                <w:rFonts w:cs="Arial"/>
                <w:color w:val="000000" w:themeColor="text1"/>
                <w:szCs w:val="16"/>
              </w:rPr>
            </w:pPr>
            <w:r w:rsidRPr="00ED172B">
              <w:rPr>
                <w:rFonts w:cs="Arial"/>
                <w:color w:val="000000" w:themeColor="text1"/>
                <w:szCs w:val="16"/>
              </w:rPr>
              <w:t>46.20%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09DE95A" w14:textId="617EA4AA" w:rsidR="007F3393" w:rsidRPr="00ED172B" w:rsidRDefault="00860830" w:rsidP="00186420">
            <w:pPr>
              <w:jc w:val="center"/>
              <w:rPr>
                <w:rFonts w:cs="Arial"/>
                <w:color w:val="000000" w:themeColor="text1"/>
                <w:szCs w:val="16"/>
              </w:rPr>
            </w:pPr>
            <w:r w:rsidRPr="00ED172B">
              <w:rPr>
                <w:rFonts w:cs="Arial"/>
                <w:color w:val="000000" w:themeColor="text1"/>
                <w:szCs w:val="16"/>
              </w:rPr>
              <w:t>59.00%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729DD" w14:textId="527FEE0A" w:rsidR="007F3393" w:rsidRPr="00ED172B" w:rsidRDefault="00860830" w:rsidP="00186420">
            <w:pPr>
              <w:jc w:val="center"/>
              <w:rPr>
                <w:rFonts w:cs="Arial"/>
                <w:color w:val="000000" w:themeColor="text1"/>
                <w:szCs w:val="16"/>
              </w:rPr>
            </w:pPr>
            <w:r w:rsidRPr="00ED172B">
              <w:rPr>
                <w:rFonts w:cs="Arial"/>
                <w:color w:val="000000" w:themeColor="text1"/>
                <w:szCs w:val="16"/>
              </w:rPr>
              <w:t>59.00%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67B97E" w14:textId="10DBDF23" w:rsidR="007F3393" w:rsidRPr="00ED172B" w:rsidRDefault="00860830" w:rsidP="00186420">
            <w:pPr>
              <w:jc w:val="center"/>
              <w:rPr>
                <w:rFonts w:cs="Arial"/>
                <w:color w:val="000000" w:themeColor="text1"/>
                <w:szCs w:val="16"/>
              </w:rPr>
            </w:pPr>
            <w:r w:rsidRPr="00ED172B">
              <w:rPr>
                <w:rFonts w:cs="Arial"/>
                <w:color w:val="000000" w:themeColor="text1"/>
                <w:szCs w:val="16"/>
              </w:rPr>
              <w:t>59.00%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EEC5588" w14:textId="5E0BEB99" w:rsidR="007F3393" w:rsidRPr="00ED172B" w:rsidRDefault="00860830" w:rsidP="00186420">
            <w:pPr>
              <w:jc w:val="center"/>
              <w:rPr>
                <w:rFonts w:cs="Arial"/>
                <w:color w:val="000000" w:themeColor="text1"/>
                <w:szCs w:val="16"/>
              </w:rPr>
            </w:pPr>
            <w:r w:rsidRPr="00ED172B">
              <w:rPr>
                <w:rFonts w:cs="Arial"/>
                <w:color w:val="000000" w:themeColor="text1"/>
                <w:szCs w:val="16"/>
              </w:rPr>
              <w:t>59.00%</w:t>
            </w:r>
          </w:p>
        </w:tc>
      </w:tr>
      <w:tr w:rsidR="00ED172B" w:rsidRPr="00ED172B" w14:paraId="1132C60F" w14:textId="3B99FC54" w:rsidTr="00A40EE1">
        <w:trPr>
          <w:trHeight w:val="85"/>
        </w:trPr>
        <w:tc>
          <w:tcPr>
            <w:tcW w:w="500" w:type="pct"/>
            <w:tcBorders>
              <w:left w:val="single" w:sz="4" w:space="0" w:color="auto"/>
              <w:right w:val="single" w:sz="4" w:space="0" w:color="auto"/>
            </w:tcBorders>
            <w:shd w:val="clear" w:color="auto" w:fill="auto"/>
            <w:vAlign w:val="center"/>
          </w:tcPr>
          <w:p w14:paraId="2738B926" w14:textId="68F9E66E" w:rsidR="007F3393"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1644268A" w14:textId="682CF9A3" w:rsidR="007F3393" w:rsidRPr="00ED172B" w:rsidRDefault="005C14C2" w:rsidP="005C14C2">
            <w:pPr>
              <w:jc w:val="center"/>
              <w:rPr>
                <w:color w:val="000000" w:themeColor="text1"/>
              </w:rPr>
            </w:pPr>
            <w:r w:rsidRPr="00ED172B">
              <w:rPr>
                <w:color w:val="000000" w:themeColor="text1"/>
              </w:rPr>
              <w:t>45.70%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1C26CB8" w14:textId="0C759790"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B12058" w14:textId="4C62C3D2" w:rsidR="007F3393" w:rsidRPr="00ED172B" w:rsidRDefault="00860830" w:rsidP="00186420">
            <w:pPr>
              <w:jc w:val="center"/>
              <w:rPr>
                <w:rFonts w:cs="Arial"/>
                <w:color w:val="000000" w:themeColor="text1"/>
                <w:szCs w:val="16"/>
              </w:rPr>
            </w:pPr>
            <w:r w:rsidRPr="00ED172B">
              <w:rPr>
                <w:rFonts w:cs="Arial"/>
                <w:color w:val="000000" w:themeColor="text1"/>
                <w:szCs w:val="16"/>
              </w:rPr>
              <w:t>59.23%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7B2A5FF" w14:textId="701B9A2C" w:rsidR="007F3393" w:rsidRPr="00ED172B" w:rsidRDefault="00860830" w:rsidP="00186420">
            <w:pPr>
              <w:jc w:val="center"/>
              <w:rPr>
                <w:rFonts w:cs="Arial"/>
                <w:color w:val="000000" w:themeColor="text1"/>
                <w:szCs w:val="16"/>
              </w:rPr>
            </w:pPr>
            <w:r w:rsidRPr="00ED172B">
              <w:rPr>
                <w:rFonts w:cs="Arial"/>
                <w:color w:val="000000" w:themeColor="text1"/>
                <w:szCs w:val="16"/>
              </w:rPr>
              <w:t>55.85%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3ED086" w14:textId="25E0E808" w:rsidR="007F3393" w:rsidRPr="00ED172B" w:rsidRDefault="00860830" w:rsidP="00186420">
            <w:pPr>
              <w:jc w:val="center"/>
              <w:rPr>
                <w:rFonts w:cs="Arial"/>
                <w:color w:val="000000" w:themeColor="text1"/>
                <w:szCs w:val="16"/>
              </w:rPr>
            </w:pPr>
            <w:r w:rsidRPr="00ED172B">
              <w:rPr>
                <w:rFonts w:cs="Arial"/>
                <w:color w:val="000000" w:themeColor="text1"/>
                <w:szCs w:val="16"/>
              </w:rPr>
              <w:t>51.08%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E979001" w14:textId="633DD3D6" w:rsidR="007F3393" w:rsidRPr="00ED172B" w:rsidRDefault="00860830" w:rsidP="00186420">
            <w:pPr>
              <w:jc w:val="center"/>
              <w:rPr>
                <w:rFonts w:cs="Arial"/>
                <w:color w:val="000000" w:themeColor="text1"/>
                <w:szCs w:val="16"/>
              </w:rPr>
            </w:pPr>
            <w:r w:rsidRPr="00ED172B">
              <w:rPr>
                <w:rFonts w:cs="Arial"/>
                <w:color w:val="000000" w:themeColor="text1"/>
                <w:szCs w:val="16"/>
              </w:rPr>
              <w:t>53.08%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71F128" w14:textId="25D88B13" w:rsidR="007F3393" w:rsidRPr="00ED172B" w:rsidRDefault="00860830" w:rsidP="00186420">
            <w:pPr>
              <w:jc w:val="center"/>
              <w:rPr>
                <w:rFonts w:cs="Arial"/>
                <w:color w:val="000000" w:themeColor="text1"/>
                <w:szCs w:val="16"/>
              </w:rPr>
            </w:pPr>
            <w:r w:rsidRPr="00ED172B">
              <w:rPr>
                <w:rFonts w:cs="Arial"/>
                <w:color w:val="000000" w:themeColor="text1"/>
                <w:szCs w:val="16"/>
              </w:rPr>
              <w:t>54.72%</w:t>
            </w:r>
          </w:p>
        </w:tc>
      </w:tr>
    </w:tbl>
    <w:p w14:paraId="63E4EB1D" w14:textId="568C1094" w:rsidR="005F4279" w:rsidRPr="00ED172B" w:rsidRDefault="005F4279">
      <w:pPr>
        <w:rPr>
          <w:b/>
          <w:color w:val="000000" w:themeColor="text1"/>
        </w:rPr>
      </w:pPr>
      <w:r w:rsidRPr="00ED172B">
        <w:rPr>
          <w:b/>
          <w:color w:val="000000" w:themeColor="text1"/>
        </w:rPr>
        <w:t>Targets</w:t>
      </w:r>
    </w:p>
    <w:tbl>
      <w:tblPr>
        <w:tblW w:w="2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1"/>
      </w:tblPr>
      <w:tblGrid>
        <w:gridCol w:w="754"/>
        <w:gridCol w:w="1674"/>
        <w:gridCol w:w="1675"/>
        <w:gridCol w:w="1674"/>
      </w:tblGrid>
      <w:tr w:rsidR="000A0569" w:rsidRPr="00ED172B" w14:paraId="78F3A176" w14:textId="718CF8FE" w:rsidTr="00EC51AB">
        <w:trPr>
          <w:trHeight w:val="350"/>
        </w:trPr>
        <w:tc>
          <w:tcPr>
            <w:tcW w:w="652" w:type="pct"/>
            <w:tcBorders>
              <w:bottom w:val="single" w:sz="4" w:space="0" w:color="auto"/>
            </w:tcBorders>
            <w:shd w:val="clear" w:color="auto" w:fill="auto"/>
            <w:vAlign w:val="center"/>
          </w:tcPr>
          <w:p w14:paraId="601CA42E" w14:textId="77777777" w:rsidR="000A0569" w:rsidRPr="00ED172B" w:rsidRDefault="000A0569" w:rsidP="0012497F">
            <w:pPr>
              <w:jc w:val="center"/>
              <w:rPr>
                <w:b/>
                <w:color w:val="000000" w:themeColor="text1"/>
              </w:rPr>
            </w:pPr>
            <w:r w:rsidRPr="00ED172B">
              <w:rPr>
                <w:b/>
                <w:color w:val="000000" w:themeColor="text1"/>
              </w:rPr>
              <w:t>FFY</w:t>
            </w:r>
          </w:p>
        </w:tc>
        <w:tc>
          <w:tcPr>
            <w:tcW w:w="1449" w:type="pct"/>
            <w:shd w:val="clear" w:color="auto" w:fill="auto"/>
            <w:vAlign w:val="center"/>
          </w:tcPr>
          <w:p w14:paraId="71D7C7B0" w14:textId="4132339A" w:rsidR="000A0569" w:rsidRPr="00ED172B" w:rsidRDefault="000A0569" w:rsidP="0012497F">
            <w:pPr>
              <w:jc w:val="center"/>
              <w:rPr>
                <w:b/>
                <w:color w:val="000000" w:themeColor="text1"/>
              </w:rPr>
            </w:pPr>
            <w:r w:rsidRPr="00ED172B">
              <w:rPr>
                <w:b/>
                <w:color w:val="000000" w:themeColor="text1"/>
              </w:rPr>
              <w:t>2023</w:t>
            </w:r>
          </w:p>
        </w:tc>
        <w:tc>
          <w:tcPr>
            <w:tcW w:w="1450" w:type="pct"/>
          </w:tcPr>
          <w:p w14:paraId="4E28D02E" w14:textId="029CFEF6" w:rsidR="000A0569" w:rsidRPr="00ED172B" w:rsidRDefault="000A0569" w:rsidP="0012497F">
            <w:pPr>
              <w:jc w:val="center"/>
              <w:rPr>
                <w:b/>
                <w:color w:val="000000" w:themeColor="text1"/>
              </w:rPr>
            </w:pPr>
            <w:r>
              <w:rPr>
                <w:rFonts w:cs="Arial"/>
                <w:b/>
                <w:color w:val="000000" w:themeColor="text1"/>
                <w:szCs w:val="16"/>
              </w:rPr>
              <w:t>2024</w:t>
            </w:r>
          </w:p>
        </w:tc>
        <w:tc>
          <w:tcPr>
            <w:tcW w:w="1450" w:type="pct"/>
          </w:tcPr>
          <w:p w14:paraId="0EC7622F" w14:textId="5BEDD93D" w:rsidR="000A0569" w:rsidRPr="00ED172B" w:rsidRDefault="000A0569" w:rsidP="0012497F">
            <w:pPr>
              <w:jc w:val="center"/>
              <w:rPr>
                <w:b/>
                <w:color w:val="000000" w:themeColor="text1"/>
              </w:rPr>
            </w:pPr>
            <w:r w:rsidRPr="005A1B4F">
              <w:rPr>
                <w:rFonts w:cs="Arial"/>
                <w:b/>
                <w:color w:val="000000" w:themeColor="text1"/>
                <w:szCs w:val="16"/>
              </w:rPr>
              <w:t>2025</w:t>
            </w:r>
          </w:p>
        </w:tc>
      </w:tr>
      <w:tr w:rsidR="000A0569" w:rsidRPr="00ED172B" w14:paraId="02D6AC53" w14:textId="4FB2AF94" w:rsidTr="00EC51AB">
        <w:trPr>
          <w:trHeight w:val="357"/>
        </w:trPr>
        <w:tc>
          <w:tcPr>
            <w:tcW w:w="652" w:type="pct"/>
            <w:shd w:val="clear" w:color="auto" w:fill="auto"/>
            <w:vAlign w:val="center"/>
          </w:tcPr>
          <w:p w14:paraId="358625ED" w14:textId="2B3EF345" w:rsidR="000A0569" w:rsidRPr="00ED172B" w:rsidRDefault="000A0569" w:rsidP="00D21F29">
            <w:pPr>
              <w:jc w:val="center"/>
              <w:rPr>
                <w:color w:val="000000" w:themeColor="text1"/>
                <w:szCs w:val="16"/>
              </w:rPr>
            </w:pPr>
            <w:r w:rsidRPr="00ED172B">
              <w:rPr>
                <w:color w:val="000000" w:themeColor="text1"/>
                <w:szCs w:val="16"/>
              </w:rPr>
              <w:t>Target A1&gt;=</w:t>
            </w:r>
          </w:p>
        </w:tc>
        <w:tc>
          <w:tcPr>
            <w:tcW w:w="1449" w:type="pct"/>
            <w:shd w:val="clear" w:color="auto" w:fill="auto"/>
            <w:vAlign w:val="center"/>
          </w:tcPr>
          <w:p w14:paraId="6DA0DB56" w14:textId="148B9E5E" w:rsidR="000A0569" w:rsidRPr="00ED172B" w:rsidRDefault="000A0569" w:rsidP="002242B8">
            <w:pPr>
              <w:jc w:val="center"/>
              <w:rPr>
                <w:color w:val="000000" w:themeColor="text1"/>
              </w:rPr>
            </w:pPr>
            <w:r w:rsidRPr="00ED172B">
              <w:rPr>
                <w:color w:val="000000" w:themeColor="text1"/>
              </w:rPr>
              <w:t>48.00%</w:t>
            </w:r>
          </w:p>
        </w:tc>
        <w:tc>
          <w:tcPr>
            <w:tcW w:w="1450" w:type="pct"/>
          </w:tcPr>
          <w:p w14:paraId="7A62957C" w14:textId="59554121" w:rsidR="000A0569" w:rsidRPr="00ED172B" w:rsidRDefault="000A0569" w:rsidP="002242B8">
            <w:pPr>
              <w:jc w:val="center"/>
              <w:rPr>
                <w:color w:val="000000" w:themeColor="text1"/>
              </w:rPr>
            </w:pPr>
            <w:r>
              <w:rPr>
                <w:color w:val="000000" w:themeColor="text1"/>
              </w:rPr>
              <w:t>48.00%</w:t>
            </w:r>
          </w:p>
        </w:tc>
        <w:tc>
          <w:tcPr>
            <w:tcW w:w="1450" w:type="pct"/>
          </w:tcPr>
          <w:p w14:paraId="330DB307" w14:textId="4DD70DCA" w:rsidR="000A0569" w:rsidRPr="00ED172B" w:rsidRDefault="000A0569" w:rsidP="002242B8">
            <w:pPr>
              <w:jc w:val="center"/>
              <w:rPr>
                <w:color w:val="000000" w:themeColor="text1"/>
              </w:rPr>
            </w:pPr>
            <w:r>
              <w:rPr>
                <w:color w:val="000000" w:themeColor="text1"/>
              </w:rPr>
              <w:t>48.00%</w:t>
            </w:r>
          </w:p>
        </w:tc>
      </w:tr>
      <w:tr w:rsidR="000A0569" w:rsidRPr="00ED172B" w14:paraId="44891442" w14:textId="0FF36806" w:rsidTr="00EC51AB">
        <w:trPr>
          <w:trHeight w:val="357"/>
        </w:trPr>
        <w:tc>
          <w:tcPr>
            <w:tcW w:w="652" w:type="pct"/>
            <w:shd w:val="clear" w:color="auto" w:fill="auto"/>
            <w:vAlign w:val="center"/>
          </w:tcPr>
          <w:p w14:paraId="009D9538" w14:textId="29076A1F" w:rsidR="000A0569" w:rsidRPr="00ED172B" w:rsidRDefault="000A0569" w:rsidP="00D21F29">
            <w:pPr>
              <w:jc w:val="center"/>
              <w:rPr>
                <w:color w:val="000000" w:themeColor="text1"/>
                <w:szCs w:val="16"/>
              </w:rPr>
            </w:pPr>
            <w:r w:rsidRPr="00ED172B">
              <w:rPr>
                <w:color w:val="000000" w:themeColor="text1"/>
                <w:szCs w:val="16"/>
              </w:rPr>
              <w:t>Target A2&gt;=</w:t>
            </w:r>
          </w:p>
        </w:tc>
        <w:tc>
          <w:tcPr>
            <w:tcW w:w="1449" w:type="pct"/>
            <w:shd w:val="clear" w:color="auto" w:fill="auto"/>
            <w:vAlign w:val="center"/>
          </w:tcPr>
          <w:p w14:paraId="055CB77B" w14:textId="617D01F2" w:rsidR="000A0569" w:rsidRPr="00ED172B" w:rsidRDefault="000A0569" w:rsidP="002242B8">
            <w:pPr>
              <w:jc w:val="center"/>
              <w:rPr>
                <w:color w:val="000000" w:themeColor="text1"/>
              </w:rPr>
            </w:pPr>
            <w:r w:rsidRPr="00ED172B">
              <w:rPr>
                <w:color w:val="000000" w:themeColor="text1"/>
              </w:rPr>
              <w:t>70.00%</w:t>
            </w:r>
          </w:p>
        </w:tc>
        <w:tc>
          <w:tcPr>
            <w:tcW w:w="1450" w:type="pct"/>
          </w:tcPr>
          <w:p w14:paraId="1DD5AC15" w14:textId="552D0AAC" w:rsidR="000A0569" w:rsidRPr="00ED172B" w:rsidRDefault="000A0569" w:rsidP="002242B8">
            <w:pPr>
              <w:jc w:val="center"/>
              <w:rPr>
                <w:color w:val="000000" w:themeColor="text1"/>
              </w:rPr>
            </w:pPr>
            <w:r>
              <w:rPr>
                <w:color w:val="000000" w:themeColor="text1"/>
              </w:rPr>
              <w:t>70.00%</w:t>
            </w:r>
          </w:p>
        </w:tc>
        <w:tc>
          <w:tcPr>
            <w:tcW w:w="1450" w:type="pct"/>
          </w:tcPr>
          <w:p w14:paraId="29377148" w14:textId="76F6C6ED" w:rsidR="000A0569" w:rsidRPr="00ED172B" w:rsidRDefault="000A0569" w:rsidP="002242B8">
            <w:pPr>
              <w:jc w:val="center"/>
              <w:rPr>
                <w:color w:val="000000" w:themeColor="text1"/>
              </w:rPr>
            </w:pPr>
            <w:r>
              <w:rPr>
                <w:color w:val="000000" w:themeColor="text1"/>
              </w:rPr>
              <w:t>70.00%</w:t>
            </w:r>
          </w:p>
        </w:tc>
      </w:tr>
      <w:tr w:rsidR="000A0569" w:rsidRPr="00ED172B" w14:paraId="2690938F" w14:textId="5C81AA5A" w:rsidTr="00EC51AB">
        <w:trPr>
          <w:trHeight w:val="357"/>
        </w:trPr>
        <w:tc>
          <w:tcPr>
            <w:tcW w:w="652" w:type="pct"/>
            <w:shd w:val="clear" w:color="auto" w:fill="auto"/>
            <w:vAlign w:val="center"/>
          </w:tcPr>
          <w:p w14:paraId="59DB088F" w14:textId="1C7EE8C0" w:rsidR="000A0569" w:rsidRPr="00ED172B" w:rsidRDefault="000A0569" w:rsidP="00D21F29">
            <w:pPr>
              <w:jc w:val="center"/>
              <w:rPr>
                <w:color w:val="000000" w:themeColor="text1"/>
                <w:szCs w:val="16"/>
              </w:rPr>
            </w:pPr>
            <w:r w:rsidRPr="00ED172B">
              <w:rPr>
                <w:color w:val="000000" w:themeColor="text1"/>
                <w:szCs w:val="16"/>
              </w:rPr>
              <w:t>Target B1&gt;=</w:t>
            </w:r>
          </w:p>
        </w:tc>
        <w:tc>
          <w:tcPr>
            <w:tcW w:w="1449" w:type="pct"/>
            <w:shd w:val="clear" w:color="auto" w:fill="auto"/>
            <w:vAlign w:val="center"/>
          </w:tcPr>
          <w:p w14:paraId="2907988A" w14:textId="5789E173" w:rsidR="000A0569" w:rsidRPr="00ED172B" w:rsidRDefault="000A0569" w:rsidP="002242B8">
            <w:pPr>
              <w:jc w:val="center"/>
              <w:rPr>
                <w:color w:val="000000" w:themeColor="text1"/>
              </w:rPr>
            </w:pPr>
            <w:r w:rsidRPr="00ED172B">
              <w:rPr>
                <w:color w:val="000000" w:themeColor="text1"/>
              </w:rPr>
              <w:t>74.00%</w:t>
            </w:r>
          </w:p>
        </w:tc>
        <w:tc>
          <w:tcPr>
            <w:tcW w:w="1450" w:type="pct"/>
          </w:tcPr>
          <w:p w14:paraId="7EDAF97B" w14:textId="4B219601" w:rsidR="000A0569" w:rsidRPr="00ED172B" w:rsidRDefault="000A0569" w:rsidP="002242B8">
            <w:pPr>
              <w:jc w:val="center"/>
              <w:rPr>
                <w:color w:val="000000" w:themeColor="text1"/>
              </w:rPr>
            </w:pPr>
            <w:r>
              <w:rPr>
                <w:color w:val="000000" w:themeColor="text1"/>
              </w:rPr>
              <w:t>74.00%</w:t>
            </w:r>
          </w:p>
        </w:tc>
        <w:tc>
          <w:tcPr>
            <w:tcW w:w="1450" w:type="pct"/>
          </w:tcPr>
          <w:p w14:paraId="31A1D7D3" w14:textId="003191E1" w:rsidR="000A0569" w:rsidRPr="00ED172B" w:rsidRDefault="000A0569" w:rsidP="002242B8">
            <w:pPr>
              <w:jc w:val="center"/>
              <w:rPr>
                <w:color w:val="000000" w:themeColor="text1"/>
              </w:rPr>
            </w:pPr>
            <w:r>
              <w:rPr>
                <w:color w:val="000000" w:themeColor="text1"/>
              </w:rPr>
              <w:t>74.00%</w:t>
            </w:r>
          </w:p>
        </w:tc>
      </w:tr>
      <w:tr w:rsidR="000A0569" w:rsidRPr="00ED172B" w14:paraId="1E1B569B" w14:textId="4BB89901" w:rsidTr="00EC51AB">
        <w:trPr>
          <w:trHeight w:val="357"/>
        </w:trPr>
        <w:tc>
          <w:tcPr>
            <w:tcW w:w="652" w:type="pct"/>
            <w:shd w:val="clear" w:color="auto" w:fill="auto"/>
            <w:vAlign w:val="center"/>
          </w:tcPr>
          <w:p w14:paraId="13799DA2" w14:textId="4BB3DE26" w:rsidR="000A0569" w:rsidRPr="00ED172B" w:rsidRDefault="000A0569" w:rsidP="00D21F29">
            <w:pPr>
              <w:jc w:val="center"/>
              <w:rPr>
                <w:color w:val="000000" w:themeColor="text1"/>
                <w:szCs w:val="16"/>
              </w:rPr>
            </w:pPr>
            <w:r w:rsidRPr="00ED172B">
              <w:rPr>
                <w:color w:val="000000" w:themeColor="text1"/>
                <w:szCs w:val="16"/>
              </w:rPr>
              <w:t>Target B2&gt;=</w:t>
            </w:r>
          </w:p>
        </w:tc>
        <w:tc>
          <w:tcPr>
            <w:tcW w:w="1449" w:type="pct"/>
            <w:shd w:val="clear" w:color="auto" w:fill="auto"/>
            <w:vAlign w:val="center"/>
          </w:tcPr>
          <w:p w14:paraId="3C5EA01D" w14:textId="1C391BC4" w:rsidR="000A0569" w:rsidRPr="00ED172B" w:rsidRDefault="000A0569" w:rsidP="002242B8">
            <w:pPr>
              <w:jc w:val="center"/>
              <w:rPr>
                <w:color w:val="000000" w:themeColor="text1"/>
              </w:rPr>
            </w:pPr>
            <w:r w:rsidRPr="00ED172B">
              <w:rPr>
                <w:color w:val="000000" w:themeColor="text1"/>
              </w:rPr>
              <w:t>34.50%</w:t>
            </w:r>
          </w:p>
        </w:tc>
        <w:tc>
          <w:tcPr>
            <w:tcW w:w="1450" w:type="pct"/>
          </w:tcPr>
          <w:p w14:paraId="5980DE18" w14:textId="10CD7859" w:rsidR="000A0569" w:rsidRPr="00ED172B" w:rsidRDefault="000A0569" w:rsidP="002242B8">
            <w:pPr>
              <w:jc w:val="center"/>
              <w:rPr>
                <w:color w:val="000000" w:themeColor="text1"/>
              </w:rPr>
            </w:pPr>
            <w:r>
              <w:rPr>
                <w:color w:val="000000" w:themeColor="text1"/>
              </w:rPr>
              <w:t>34.50%</w:t>
            </w:r>
          </w:p>
        </w:tc>
        <w:tc>
          <w:tcPr>
            <w:tcW w:w="1450" w:type="pct"/>
          </w:tcPr>
          <w:p w14:paraId="3FD51CD4" w14:textId="4E5875CE" w:rsidR="000A0569" w:rsidRPr="00ED172B" w:rsidRDefault="000A0569" w:rsidP="002242B8">
            <w:pPr>
              <w:jc w:val="center"/>
              <w:rPr>
                <w:color w:val="000000" w:themeColor="text1"/>
              </w:rPr>
            </w:pPr>
            <w:r>
              <w:rPr>
                <w:color w:val="000000" w:themeColor="text1"/>
              </w:rPr>
              <w:t>34.50%</w:t>
            </w:r>
          </w:p>
        </w:tc>
      </w:tr>
      <w:tr w:rsidR="000A0569" w:rsidRPr="00ED172B" w14:paraId="6F747C45" w14:textId="78B1E7A4" w:rsidTr="00EC51AB">
        <w:trPr>
          <w:trHeight w:val="357"/>
        </w:trPr>
        <w:tc>
          <w:tcPr>
            <w:tcW w:w="652" w:type="pct"/>
            <w:shd w:val="clear" w:color="auto" w:fill="auto"/>
            <w:vAlign w:val="center"/>
          </w:tcPr>
          <w:p w14:paraId="19D62A97" w14:textId="4E5E2DD2" w:rsidR="000A0569" w:rsidRPr="00ED172B" w:rsidRDefault="000A0569" w:rsidP="00D21F29">
            <w:pPr>
              <w:jc w:val="center"/>
              <w:rPr>
                <w:color w:val="000000" w:themeColor="text1"/>
                <w:szCs w:val="16"/>
              </w:rPr>
            </w:pPr>
            <w:r w:rsidRPr="00ED172B">
              <w:rPr>
                <w:color w:val="000000" w:themeColor="text1"/>
                <w:szCs w:val="16"/>
              </w:rPr>
              <w:t>Target C1&gt;=</w:t>
            </w:r>
          </w:p>
        </w:tc>
        <w:tc>
          <w:tcPr>
            <w:tcW w:w="1449" w:type="pct"/>
            <w:shd w:val="clear" w:color="auto" w:fill="auto"/>
            <w:vAlign w:val="center"/>
          </w:tcPr>
          <w:p w14:paraId="2F5E76E5" w14:textId="3B73537A" w:rsidR="000A0569" w:rsidRPr="00ED172B" w:rsidRDefault="000A0569" w:rsidP="0012497F">
            <w:pPr>
              <w:jc w:val="center"/>
              <w:rPr>
                <w:color w:val="000000" w:themeColor="text1"/>
              </w:rPr>
            </w:pPr>
            <w:r w:rsidRPr="00ED172B">
              <w:rPr>
                <w:color w:val="000000" w:themeColor="text1"/>
              </w:rPr>
              <w:t>87.00%</w:t>
            </w:r>
          </w:p>
        </w:tc>
        <w:tc>
          <w:tcPr>
            <w:tcW w:w="1450" w:type="pct"/>
          </w:tcPr>
          <w:p w14:paraId="3564984B" w14:textId="08842718" w:rsidR="000A0569" w:rsidRPr="00ED172B" w:rsidRDefault="000A0569" w:rsidP="0012497F">
            <w:pPr>
              <w:jc w:val="center"/>
              <w:rPr>
                <w:color w:val="000000" w:themeColor="text1"/>
              </w:rPr>
            </w:pPr>
            <w:r>
              <w:rPr>
                <w:color w:val="000000" w:themeColor="text1"/>
              </w:rPr>
              <w:t>87.00%</w:t>
            </w:r>
          </w:p>
        </w:tc>
        <w:tc>
          <w:tcPr>
            <w:tcW w:w="1450" w:type="pct"/>
          </w:tcPr>
          <w:p w14:paraId="6F334EB5" w14:textId="748BD28E" w:rsidR="000A0569" w:rsidRPr="00ED172B" w:rsidRDefault="000A0569" w:rsidP="0012497F">
            <w:pPr>
              <w:jc w:val="center"/>
              <w:rPr>
                <w:color w:val="000000" w:themeColor="text1"/>
              </w:rPr>
            </w:pPr>
            <w:r>
              <w:rPr>
                <w:color w:val="000000" w:themeColor="text1"/>
              </w:rPr>
              <w:t>87.00%</w:t>
            </w:r>
          </w:p>
        </w:tc>
      </w:tr>
      <w:tr w:rsidR="000A0569" w:rsidRPr="00ED172B" w14:paraId="042194B1" w14:textId="77BD4258" w:rsidTr="00EC51AB">
        <w:trPr>
          <w:trHeight w:val="357"/>
        </w:trPr>
        <w:tc>
          <w:tcPr>
            <w:tcW w:w="652" w:type="pct"/>
            <w:shd w:val="clear" w:color="auto" w:fill="auto"/>
            <w:vAlign w:val="center"/>
          </w:tcPr>
          <w:p w14:paraId="62D06703" w14:textId="0E10BF36" w:rsidR="000A0569" w:rsidRPr="00ED172B" w:rsidRDefault="000A0569" w:rsidP="00D21F29">
            <w:pPr>
              <w:jc w:val="center"/>
              <w:rPr>
                <w:color w:val="000000" w:themeColor="text1"/>
                <w:szCs w:val="16"/>
              </w:rPr>
            </w:pPr>
            <w:r w:rsidRPr="00ED172B">
              <w:rPr>
                <w:color w:val="000000" w:themeColor="text1"/>
                <w:szCs w:val="16"/>
              </w:rPr>
              <w:t>Target C2&gt;=</w:t>
            </w:r>
          </w:p>
        </w:tc>
        <w:tc>
          <w:tcPr>
            <w:tcW w:w="1449" w:type="pct"/>
            <w:shd w:val="clear" w:color="auto" w:fill="auto"/>
            <w:vAlign w:val="center"/>
          </w:tcPr>
          <w:p w14:paraId="763C7DAE" w14:textId="263F85F1" w:rsidR="000A0569" w:rsidRPr="00ED172B" w:rsidRDefault="000A0569" w:rsidP="0012497F">
            <w:pPr>
              <w:jc w:val="center"/>
              <w:rPr>
                <w:color w:val="000000" w:themeColor="text1"/>
              </w:rPr>
            </w:pPr>
            <w:r w:rsidRPr="00ED172B">
              <w:rPr>
                <w:color w:val="000000" w:themeColor="text1"/>
              </w:rPr>
              <w:t>59.00%</w:t>
            </w:r>
          </w:p>
        </w:tc>
        <w:tc>
          <w:tcPr>
            <w:tcW w:w="1450" w:type="pct"/>
          </w:tcPr>
          <w:p w14:paraId="58EBEEB4" w14:textId="68AFCCA1" w:rsidR="000A0569" w:rsidRPr="00ED172B" w:rsidRDefault="000A0569" w:rsidP="0012497F">
            <w:pPr>
              <w:jc w:val="center"/>
              <w:rPr>
                <w:color w:val="000000" w:themeColor="text1"/>
              </w:rPr>
            </w:pPr>
            <w:r>
              <w:rPr>
                <w:color w:val="000000" w:themeColor="text1"/>
              </w:rPr>
              <w:t>59.00%</w:t>
            </w:r>
          </w:p>
        </w:tc>
        <w:tc>
          <w:tcPr>
            <w:tcW w:w="1450" w:type="pct"/>
          </w:tcPr>
          <w:p w14:paraId="6E31560A" w14:textId="75F80FC4" w:rsidR="000A0569" w:rsidRPr="00ED172B" w:rsidRDefault="000A0569" w:rsidP="0012497F">
            <w:pPr>
              <w:jc w:val="center"/>
              <w:rPr>
                <w:color w:val="000000" w:themeColor="text1"/>
              </w:rPr>
            </w:pPr>
            <w:r>
              <w:rPr>
                <w:color w:val="000000" w:themeColor="text1"/>
              </w:rPr>
              <w:t>59.00%</w:t>
            </w:r>
          </w:p>
        </w:tc>
      </w:tr>
    </w:tbl>
    <w:p w14:paraId="51844E7F" w14:textId="3B3A5148" w:rsidR="001A4B29" w:rsidRPr="00ED172B" w:rsidRDefault="00F32724">
      <w:pPr>
        <w:rPr>
          <w:b/>
          <w:color w:val="000000" w:themeColor="text1"/>
        </w:rPr>
      </w:pPr>
      <w:r w:rsidRPr="00ED172B" w:rsidDel="00F32724">
        <w:rPr>
          <w:b/>
          <w:color w:val="000000" w:themeColor="text1"/>
        </w:rPr>
        <w:t xml:space="preserve"> 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1"/>
      </w:tblPr>
      <w:tblGrid>
        <w:gridCol w:w="7350"/>
        <w:gridCol w:w="1720"/>
        <w:gridCol w:w="1720"/>
      </w:tblGrid>
      <w:tr w:rsidR="00ED172B" w:rsidRPr="00ED172B" w14:paraId="199F40A6" w14:textId="77777777" w:rsidTr="00986B99">
        <w:trPr>
          <w:trHeight w:val="287"/>
          <w:tblHeader/>
        </w:trPr>
        <w:tc>
          <w:tcPr>
            <w:tcW w:w="3406" w:type="pct"/>
            <w:shd w:val="clear" w:color="auto" w:fill="auto"/>
            <w:vAlign w:val="center"/>
          </w:tcPr>
          <w:p w14:paraId="5BC436ED" w14:textId="7D8AC379" w:rsidR="001A4B29" w:rsidRPr="00ED172B" w:rsidRDefault="008320B5" w:rsidP="00B83404">
            <w:pPr>
              <w:rPr>
                <w:color w:val="000000" w:themeColor="text1"/>
              </w:rPr>
            </w:pPr>
            <w:r>
              <w:rPr>
                <w:rFonts w:cs="Arial"/>
                <w:b/>
                <w:color w:val="000000" w:themeColor="text1"/>
                <w:szCs w:val="16"/>
              </w:rPr>
              <w:t xml:space="preserve">Outcome A </w:t>
            </w:r>
            <w:r w:rsidRPr="001071FD">
              <w:rPr>
                <w:rFonts w:cs="Arial"/>
                <w:b/>
                <w:bCs/>
                <w:color w:val="000000" w:themeColor="text1"/>
                <w:szCs w:val="16"/>
              </w:rPr>
              <w:t xml:space="preserve">Progress </w:t>
            </w:r>
            <w:r>
              <w:rPr>
                <w:rFonts w:cs="Arial"/>
                <w:b/>
                <w:bCs/>
                <w:color w:val="000000" w:themeColor="text1"/>
                <w:szCs w:val="16"/>
              </w:rPr>
              <w:t>C</w:t>
            </w:r>
            <w:r w:rsidRPr="001071FD">
              <w:rPr>
                <w:rFonts w:cs="Arial"/>
                <w:b/>
                <w:bCs/>
                <w:color w:val="000000" w:themeColor="text1"/>
                <w:szCs w:val="16"/>
              </w:rPr>
              <w:t>ategor</w:t>
            </w:r>
            <w:r>
              <w:rPr>
                <w:rFonts w:cs="Arial"/>
                <w:b/>
                <w:bCs/>
                <w:color w:val="000000" w:themeColor="text1"/>
                <w:szCs w:val="16"/>
              </w:rPr>
              <w:t>y</w:t>
            </w:r>
          </w:p>
        </w:tc>
        <w:tc>
          <w:tcPr>
            <w:tcW w:w="797" w:type="pct"/>
            <w:shd w:val="clear" w:color="auto" w:fill="auto"/>
            <w:vAlign w:val="center"/>
          </w:tcPr>
          <w:p w14:paraId="117C054E"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5DE447B1"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A737610" w14:textId="77777777" w:rsidTr="00986B99">
        <w:trPr>
          <w:trHeight w:val="361"/>
        </w:trPr>
        <w:tc>
          <w:tcPr>
            <w:tcW w:w="3406" w:type="pct"/>
            <w:shd w:val="clear" w:color="auto" w:fill="auto"/>
            <w:vAlign w:val="center"/>
          </w:tcPr>
          <w:p w14:paraId="0D7FD0A3" w14:textId="77777777" w:rsidR="001A4B29" w:rsidRPr="00ED172B" w:rsidRDefault="001A4B29" w:rsidP="001A4B29">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7B73B6C2" w14:textId="57ACFA8E" w:rsidR="001A4B29" w:rsidRPr="00ED172B" w:rsidRDefault="00860830" w:rsidP="00186420">
            <w:pPr>
              <w:jc w:val="center"/>
              <w:rPr>
                <w:rFonts w:cs="Arial"/>
                <w:color w:val="000000" w:themeColor="text1"/>
                <w:szCs w:val="16"/>
              </w:rPr>
            </w:pPr>
            <w:r w:rsidRPr="00ED172B">
              <w:rPr>
                <w:rFonts w:cs="Arial"/>
                <w:color w:val="000000" w:themeColor="text1"/>
                <w:szCs w:val="16"/>
              </w:rPr>
              <w:t>76</w:t>
            </w:r>
          </w:p>
        </w:tc>
        <w:tc>
          <w:tcPr>
            <w:tcW w:w="797" w:type="pct"/>
            <w:shd w:val="clear" w:color="auto" w:fill="auto"/>
            <w:vAlign w:val="center"/>
          </w:tcPr>
          <w:p w14:paraId="21371D80" w14:textId="187C61CB" w:rsidR="001A4B29" w:rsidRPr="00ED172B" w:rsidRDefault="00860830" w:rsidP="00186420">
            <w:pPr>
              <w:jc w:val="center"/>
              <w:rPr>
                <w:rFonts w:cs="Arial"/>
                <w:color w:val="000000" w:themeColor="text1"/>
                <w:szCs w:val="16"/>
              </w:rPr>
            </w:pPr>
            <w:r w:rsidRPr="00ED172B">
              <w:rPr>
                <w:rFonts w:cs="Arial"/>
                <w:color w:val="000000" w:themeColor="text1"/>
                <w:szCs w:val="16"/>
              </w:rPr>
              <w:t>2.59%</w:t>
            </w:r>
          </w:p>
        </w:tc>
      </w:tr>
      <w:tr w:rsidR="00ED172B" w:rsidRPr="00ED172B" w14:paraId="09D5BD6A" w14:textId="77777777" w:rsidTr="00986B99">
        <w:trPr>
          <w:trHeight w:val="361"/>
        </w:trPr>
        <w:tc>
          <w:tcPr>
            <w:tcW w:w="3406" w:type="pct"/>
            <w:shd w:val="clear" w:color="auto" w:fill="auto"/>
            <w:vAlign w:val="center"/>
          </w:tcPr>
          <w:p w14:paraId="1A85375B" w14:textId="77777777" w:rsidR="00E447C5" w:rsidRPr="00ED172B" w:rsidRDefault="00E447C5" w:rsidP="00E447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03A954FC" w14:textId="5A74BEE6" w:rsidR="00E447C5" w:rsidRPr="00ED172B" w:rsidRDefault="00860830" w:rsidP="00186420">
            <w:pPr>
              <w:jc w:val="center"/>
              <w:rPr>
                <w:rFonts w:cs="Arial"/>
                <w:color w:val="000000" w:themeColor="text1"/>
                <w:szCs w:val="16"/>
              </w:rPr>
            </w:pPr>
            <w:r w:rsidRPr="00ED172B">
              <w:rPr>
                <w:rFonts w:cs="Arial"/>
                <w:color w:val="000000" w:themeColor="text1"/>
                <w:szCs w:val="16"/>
              </w:rPr>
              <w:t>764</w:t>
            </w:r>
          </w:p>
        </w:tc>
        <w:tc>
          <w:tcPr>
            <w:tcW w:w="797" w:type="pct"/>
            <w:shd w:val="clear" w:color="auto" w:fill="auto"/>
            <w:vAlign w:val="center"/>
          </w:tcPr>
          <w:p w14:paraId="122E007F" w14:textId="32E9A181" w:rsidR="00E447C5" w:rsidRPr="00ED172B" w:rsidRDefault="00860830" w:rsidP="00186420">
            <w:pPr>
              <w:jc w:val="center"/>
              <w:rPr>
                <w:rFonts w:cs="Arial"/>
                <w:color w:val="000000" w:themeColor="text1"/>
                <w:szCs w:val="16"/>
              </w:rPr>
            </w:pPr>
            <w:r w:rsidRPr="00ED172B">
              <w:rPr>
                <w:rFonts w:cs="Arial"/>
                <w:color w:val="000000" w:themeColor="text1"/>
                <w:szCs w:val="16"/>
              </w:rPr>
              <w:t>26.03%</w:t>
            </w:r>
          </w:p>
        </w:tc>
      </w:tr>
      <w:tr w:rsidR="00ED172B" w:rsidRPr="00ED172B" w14:paraId="3F82D5BB" w14:textId="77777777" w:rsidTr="00986B99">
        <w:trPr>
          <w:trHeight w:val="361"/>
        </w:trPr>
        <w:tc>
          <w:tcPr>
            <w:tcW w:w="3406" w:type="pct"/>
            <w:shd w:val="clear" w:color="auto" w:fill="auto"/>
            <w:vAlign w:val="center"/>
          </w:tcPr>
          <w:p w14:paraId="67D0449A" w14:textId="77777777" w:rsidR="00E447C5" w:rsidRPr="00ED172B" w:rsidRDefault="00E447C5" w:rsidP="00E447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3BE4B185" w14:textId="4BCC54D9" w:rsidR="00E447C5" w:rsidRPr="00ED172B" w:rsidRDefault="00860830" w:rsidP="00186420">
            <w:pPr>
              <w:jc w:val="center"/>
              <w:rPr>
                <w:rFonts w:cs="Arial"/>
                <w:color w:val="000000" w:themeColor="text1"/>
                <w:szCs w:val="16"/>
              </w:rPr>
            </w:pPr>
            <w:r w:rsidRPr="00ED172B">
              <w:rPr>
                <w:rFonts w:cs="Arial"/>
                <w:color w:val="000000" w:themeColor="text1"/>
                <w:szCs w:val="16"/>
              </w:rPr>
              <w:t>175</w:t>
            </w:r>
          </w:p>
        </w:tc>
        <w:tc>
          <w:tcPr>
            <w:tcW w:w="797" w:type="pct"/>
            <w:shd w:val="clear" w:color="auto" w:fill="auto"/>
            <w:vAlign w:val="center"/>
          </w:tcPr>
          <w:p w14:paraId="4F7B1288" w14:textId="47E5A303" w:rsidR="00E447C5" w:rsidRPr="00ED172B" w:rsidRDefault="00860830" w:rsidP="00186420">
            <w:pPr>
              <w:jc w:val="center"/>
              <w:rPr>
                <w:rFonts w:cs="Arial"/>
                <w:color w:val="000000" w:themeColor="text1"/>
                <w:szCs w:val="16"/>
              </w:rPr>
            </w:pPr>
            <w:r w:rsidRPr="00ED172B">
              <w:rPr>
                <w:rFonts w:cs="Arial"/>
                <w:color w:val="000000" w:themeColor="text1"/>
                <w:szCs w:val="16"/>
              </w:rPr>
              <w:t>5.96%</w:t>
            </w:r>
          </w:p>
        </w:tc>
      </w:tr>
      <w:tr w:rsidR="00ED172B" w:rsidRPr="00ED172B" w14:paraId="790CC54F" w14:textId="77777777" w:rsidTr="00986B99">
        <w:trPr>
          <w:trHeight w:val="361"/>
        </w:trPr>
        <w:tc>
          <w:tcPr>
            <w:tcW w:w="3406" w:type="pct"/>
            <w:shd w:val="clear" w:color="auto" w:fill="auto"/>
            <w:vAlign w:val="center"/>
          </w:tcPr>
          <w:p w14:paraId="194E371C" w14:textId="77777777" w:rsidR="00E447C5" w:rsidRPr="00ED172B" w:rsidRDefault="00E447C5" w:rsidP="00E447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68A4EE48" w14:textId="78DFD3C2" w:rsidR="00E447C5" w:rsidRPr="00ED172B" w:rsidRDefault="00860830" w:rsidP="00186420">
            <w:pPr>
              <w:jc w:val="center"/>
              <w:rPr>
                <w:rFonts w:cs="Arial"/>
                <w:color w:val="000000" w:themeColor="text1"/>
                <w:szCs w:val="16"/>
              </w:rPr>
            </w:pPr>
            <w:r w:rsidRPr="00ED172B">
              <w:rPr>
                <w:rFonts w:cs="Arial"/>
                <w:color w:val="000000" w:themeColor="text1"/>
                <w:szCs w:val="16"/>
              </w:rPr>
              <w:t>387</w:t>
            </w:r>
          </w:p>
        </w:tc>
        <w:tc>
          <w:tcPr>
            <w:tcW w:w="797" w:type="pct"/>
            <w:shd w:val="clear" w:color="auto" w:fill="auto"/>
            <w:vAlign w:val="center"/>
          </w:tcPr>
          <w:p w14:paraId="1A563A71" w14:textId="4FAB7910" w:rsidR="00E447C5" w:rsidRPr="00ED172B" w:rsidRDefault="00860830" w:rsidP="00186420">
            <w:pPr>
              <w:jc w:val="center"/>
              <w:rPr>
                <w:rFonts w:cs="Arial"/>
                <w:color w:val="000000" w:themeColor="text1"/>
                <w:szCs w:val="16"/>
              </w:rPr>
            </w:pPr>
            <w:r w:rsidRPr="00ED172B">
              <w:rPr>
                <w:rFonts w:cs="Arial"/>
                <w:color w:val="000000" w:themeColor="text1"/>
                <w:szCs w:val="16"/>
              </w:rPr>
              <w:t>13.19%</w:t>
            </w:r>
          </w:p>
        </w:tc>
      </w:tr>
      <w:tr w:rsidR="00ED172B" w:rsidRPr="00ED172B" w14:paraId="36022838" w14:textId="77777777" w:rsidTr="00986B99">
        <w:trPr>
          <w:trHeight w:val="361"/>
        </w:trPr>
        <w:tc>
          <w:tcPr>
            <w:tcW w:w="3406" w:type="pct"/>
            <w:shd w:val="clear" w:color="auto" w:fill="auto"/>
            <w:vAlign w:val="center"/>
          </w:tcPr>
          <w:p w14:paraId="79FA53BE" w14:textId="77777777" w:rsidR="00E447C5" w:rsidRPr="00ED172B" w:rsidRDefault="00E447C5" w:rsidP="00E447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136B9D88" w14:textId="3DCBABE4" w:rsidR="00E447C5" w:rsidRPr="00ED172B" w:rsidRDefault="00860830" w:rsidP="00186420">
            <w:pPr>
              <w:jc w:val="center"/>
              <w:rPr>
                <w:rFonts w:cs="Arial"/>
                <w:color w:val="000000" w:themeColor="text1"/>
                <w:szCs w:val="16"/>
              </w:rPr>
            </w:pPr>
            <w:r w:rsidRPr="00ED172B">
              <w:rPr>
                <w:rFonts w:cs="Arial"/>
                <w:color w:val="000000" w:themeColor="text1"/>
                <w:szCs w:val="16"/>
              </w:rPr>
              <w:t>1,533</w:t>
            </w:r>
          </w:p>
        </w:tc>
        <w:tc>
          <w:tcPr>
            <w:tcW w:w="797" w:type="pct"/>
            <w:shd w:val="clear" w:color="auto" w:fill="auto"/>
            <w:vAlign w:val="center"/>
          </w:tcPr>
          <w:p w14:paraId="2287277A" w14:textId="005045E4" w:rsidR="00E447C5" w:rsidRPr="00ED172B" w:rsidRDefault="00860830" w:rsidP="00186420">
            <w:pPr>
              <w:jc w:val="center"/>
              <w:rPr>
                <w:rFonts w:cs="Arial"/>
                <w:color w:val="000000" w:themeColor="text1"/>
                <w:szCs w:val="16"/>
              </w:rPr>
            </w:pPr>
            <w:r w:rsidRPr="00ED172B">
              <w:rPr>
                <w:rFonts w:cs="Arial"/>
                <w:color w:val="000000" w:themeColor="text1"/>
                <w:szCs w:val="16"/>
              </w:rPr>
              <w:t>52.23%</w:t>
            </w:r>
          </w:p>
        </w:tc>
      </w:tr>
    </w:tbl>
    <w:p w14:paraId="0BCDCF54"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2"/>
      </w:tblPr>
      <w:tblGrid>
        <w:gridCol w:w="2515"/>
        <w:gridCol w:w="1080"/>
        <w:gridCol w:w="1260"/>
        <w:gridCol w:w="1349"/>
        <w:gridCol w:w="1172"/>
        <w:gridCol w:w="1260"/>
        <w:gridCol w:w="1079"/>
        <w:gridCol w:w="1075"/>
      </w:tblGrid>
      <w:tr w:rsidR="00ED172B" w:rsidRPr="00ED172B" w14:paraId="4E319C9C" w14:textId="77777777" w:rsidTr="00986B99">
        <w:trPr>
          <w:trHeight w:val="354"/>
          <w:tblHeader/>
        </w:trPr>
        <w:tc>
          <w:tcPr>
            <w:tcW w:w="1165" w:type="pct"/>
            <w:shd w:val="clear" w:color="auto" w:fill="auto"/>
            <w:vAlign w:val="bottom"/>
          </w:tcPr>
          <w:p w14:paraId="71977AF7" w14:textId="30E3DE56" w:rsidR="00037032" w:rsidRPr="00A40EE1" w:rsidRDefault="008320B5" w:rsidP="00037032">
            <w:pPr>
              <w:jc w:val="center"/>
              <w:rPr>
                <w:rFonts w:cs="Arial"/>
                <w:b/>
                <w:bCs/>
                <w:color w:val="000000" w:themeColor="text1"/>
                <w:szCs w:val="16"/>
              </w:rPr>
            </w:pPr>
            <w:r>
              <w:rPr>
                <w:rFonts w:cs="Arial"/>
                <w:b/>
                <w:bCs/>
                <w:color w:val="000000" w:themeColor="text1"/>
                <w:szCs w:val="16"/>
              </w:rPr>
              <w:lastRenderedPageBreak/>
              <w:t>Outcome A</w:t>
            </w:r>
          </w:p>
        </w:tc>
        <w:tc>
          <w:tcPr>
            <w:tcW w:w="500" w:type="pct"/>
            <w:shd w:val="clear" w:color="auto" w:fill="auto"/>
            <w:vAlign w:val="bottom"/>
          </w:tcPr>
          <w:p w14:paraId="5B555170"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73220B5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7C1986F4" w14:textId="071FF4DB" w:rsidR="00037032" w:rsidRPr="00ED172B" w:rsidRDefault="00CD74B5" w:rsidP="00037032">
            <w:pPr>
              <w:jc w:val="center"/>
              <w:rPr>
                <w:rFonts w:cs="Arial"/>
                <w:b/>
                <w:color w:val="000000" w:themeColor="text1"/>
                <w:szCs w:val="16"/>
              </w:rPr>
            </w:pPr>
            <w:r>
              <w:rPr>
                <w:rFonts w:cs="Arial"/>
                <w:b/>
                <w:color w:val="000000" w:themeColor="text1"/>
                <w:szCs w:val="16"/>
              </w:rPr>
              <w:t>FFY 2022 Data</w:t>
            </w:r>
          </w:p>
        </w:tc>
        <w:tc>
          <w:tcPr>
            <w:tcW w:w="543" w:type="pct"/>
            <w:shd w:val="clear" w:color="auto" w:fill="auto"/>
            <w:vAlign w:val="bottom"/>
          </w:tcPr>
          <w:p w14:paraId="7A5B3F24" w14:textId="700133BF" w:rsidR="00037032" w:rsidRPr="00ED172B" w:rsidRDefault="00F22D09" w:rsidP="00037032">
            <w:pPr>
              <w:jc w:val="center"/>
              <w:rPr>
                <w:rFonts w:cs="Arial"/>
                <w:b/>
                <w:color w:val="000000" w:themeColor="text1"/>
                <w:szCs w:val="16"/>
              </w:rPr>
            </w:pPr>
            <w:r>
              <w:rPr>
                <w:rFonts w:cs="Arial"/>
                <w:b/>
                <w:color w:val="000000" w:themeColor="text1"/>
                <w:szCs w:val="16"/>
              </w:rPr>
              <w:t>FFY 2023 Target</w:t>
            </w:r>
          </w:p>
        </w:tc>
        <w:tc>
          <w:tcPr>
            <w:tcW w:w="584" w:type="pct"/>
            <w:shd w:val="clear" w:color="auto" w:fill="auto"/>
            <w:vAlign w:val="bottom"/>
          </w:tcPr>
          <w:p w14:paraId="199235B3" w14:textId="792B1D72" w:rsidR="00037032" w:rsidRPr="00ED172B" w:rsidRDefault="00F22D09" w:rsidP="00037032">
            <w:pPr>
              <w:jc w:val="center"/>
              <w:rPr>
                <w:rFonts w:cs="Arial"/>
                <w:b/>
                <w:color w:val="000000" w:themeColor="text1"/>
                <w:szCs w:val="16"/>
              </w:rPr>
            </w:pPr>
            <w:r>
              <w:rPr>
                <w:rFonts w:cs="Arial"/>
                <w:b/>
                <w:color w:val="000000" w:themeColor="text1"/>
                <w:szCs w:val="16"/>
              </w:rPr>
              <w:t>FFY 2023 Data</w:t>
            </w:r>
          </w:p>
        </w:tc>
        <w:tc>
          <w:tcPr>
            <w:tcW w:w="500" w:type="pct"/>
            <w:shd w:val="clear" w:color="auto" w:fill="auto"/>
            <w:vAlign w:val="bottom"/>
          </w:tcPr>
          <w:p w14:paraId="1922E3FB"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6A90C06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Slippage</w:t>
            </w:r>
          </w:p>
        </w:tc>
      </w:tr>
      <w:tr w:rsidR="00ED172B" w:rsidRPr="00ED172B" w14:paraId="5AB2DCE8" w14:textId="77777777" w:rsidTr="00986B99">
        <w:trPr>
          <w:trHeight w:val="361"/>
        </w:trPr>
        <w:tc>
          <w:tcPr>
            <w:tcW w:w="1165" w:type="pct"/>
            <w:shd w:val="clear" w:color="auto" w:fill="auto"/>
          </w:tcPr>
          <w:p w14:paraId="435DC63C" w14:textId="0E8ABD28" w:rsidR="000F1858" w:rsidRPr="00ED172B" w:rsidRDefault="000F1858" w:rsidP="000F1858">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00" w:type="pct"/>
            <w:shd w:val="clear" w:color="auto" w:fill="auto"/>
            <w:vAlign w:val="center"/>
          </w:tcPr>
          <w:p w14:paraId="7F8AB3E0" w14:textId="3F10229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562</w:t>
            </w:r>
          </w:p>
        </w:tc>
        <w:tc>
          <w:tcPr>
            <w:tcW w:w="584" w:type="pct"/>
            <w:shd w:val="clear" w:color="auto" w:fill="auto"/>
            <w:vAlign w:val="center"/>
          </w:tcPr>
          <w:p w14:paraId="07238E8A" w14:textId="69664AD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1,402</w:t>
            </w:r>
          </w:p>
        </w:tc>
        <w:tc>
          <w:tcPr>
            <w:tcW w:w="625" w:type="pct"/>
            <w:shd w:val="clear" w:color="auto" w:fill="auto"/>
            <w:vAlign w:val="center"/>
          </w:tcPr>
          <w:p w14:paraId="7A2008D7" w14:textId="0F1DB00E" w:rsidR="000F1858" w:rsidRPr="00ED172B" w:rsidRDefault="00860830" w:rsidP="000F1858">
            <w:pPr>
              <w:jc w:val="center"/>
              <w:rPr>
                <w:rFonts w:cs="Arial"/>
                <w:color w:val="000000" w:themeColor="text1"/>
                <w:szCs w:val="16"/>
              </w:rPr>
            </w:pPr>
            <w:r w:rsidRPr="00ED172B">
              <w:rPr>
                <w:rFonts w:cs="Arial"/>
                <w:color w:val="000000" w:themeColor="text1"/>
                <w:szCs w:val="16"/>
              </w:rPr>
              <w:t>39.52%</w:t>
            </w:r>
          </w:p>
        </w:tc>
        <w:tc>
          <w:tcPr>
            <w:tcW w:w="543" w:type="pct"/>
            <w:shd w:val="clear" w:color="auto" w:fill="auto"/>
            <w:vAlign w:val="center"/>
          </w:tcPr>
          <w:p w14:paraId="3A000F99" w14:textId="456E911B" w:rsidR="000F1858" w:rsidRPr="00ED172B" w:rsidRDefault="0054124F" w:rsidP="00027F39">
            <w:pPr>
              <w:jc w:val="center"/>
              <w:rPr>
                <w:color w:val="000000" w:themeColor="text1"/>
              </w:rPr>
            </w:pPr>
            <w:r w:rsidRPr="00ED172B">
              <w:rPr>
                <w:color w:val="000000" w:themeColor="text1"/>
              </w:rPr>
              <w:t>48.00%</w:t>
            </w:r>
          </w:p>
        </w:tc>
        <w:tc>
          <w:tcPr>
            <w:tcW w:w="584" w:type="pct"/>
            <w:shd w:val="clear" w:color="auto" w:fill="auto"/>
            <w:vAlign w:val="center"/>
          </w:tcPr>
          <w:p w14:paraId="2F634536" w14:textId="3A03E0CA" w:rsidR="000F1858" w:rsidRPr="00ED172B" w:rsidRDefault="00860830" w:rsidP="000F1858">
            <w:pPr>
              <w:jc w:val="center"/>
              <w:rPr>
                <w:rFonts w:cs="Arial"/>
                <w:color w:val="000000" w:themeColor="text1"/>
                <w:szCs w:val="16"/>
              </w:rPr>
            </w:pPr>
            <w:r w:rsidRPr="00ED172B">
              <w:rPr>
                <w:rFonts w:cs="Arial"/>
                <w:color w:val="000000" w:themeColor="text1"/>
                <w:szCs w:val="16"/>
              </w:rPr>
              <w:t>40.09%</w:t>
            </w:r>
          </w:p>
        </w:tc>
        <w:tc>
          <w:tcPr>
            <w:tcW w:w="500" w:type="pct"/>
            <w:shd w:val="clear" w:color="auto" w:fill="auto"/>
            <w:vAlign w:val="center"/>
          </w:tcPr>
          <w:p w14:paraId="0E630049" w14:textId="69996151" w:rsidR="000F1858" w:rsidRPr="00ED172B" w:rsidRDefault="00860830" w:rsidP="000F1858">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070EB7EE" w14:textId="31358CAC" w:rsidR="000F1858" w:rsidRPr="00ED172B" w:rsidRDefault="00860830" w:rsidP="000F1858">
            <w:pPr>
              <w:jc w:val="center"/>
              <w:rPr>
                <w:rFonts w:cs="Arial"/>
                <w:color w:val="000000" w:themeColor="text1"/>
                <w:szCs w:val="16"/>
              </w:rPr>
            </w:pPr>
            <w:r w:rsidRPr="00ED172B">
              <w:rPr>
                <w:rFonts w:cs="Arial"/>
                <w:color w:val="000000" w:themeColor="text1"/>
                <w:szCs w:val="16"/>
              </w:rPr>
              <w:t>No Slippage</w:t>
            </w:r>
          </w:p>
        </w:tc>
      </w:tr>
      <w:tr w:rsidR="00ED172B" w:rsidRPr="00ED172B" w14:paraId="4B2322B3" w14:textId="77777777" w:rsidTr="00986B99">
        <w:trPr>
          <w:trHeight w:val="361"/>
        </w:trPr>
        <w:tc>
          <w:tcPr>
            <w:tcW w:w="1165" w:type="pct"/>
            <w:shd w:val="clear" w:color="auto" w:fill="auto"/>
          </w:tcPr>
          <w:p w14:paraId="760DFD83" w14:textId="224FEBBB" w:rsidR="00A52D95" w:rsidRPr="00ED172B" w:rsidRDefault="00A52D95" w:rsidP="00A52D9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00" w:type="pct"/>
            <w:shd w:val="clear" w:color="auto" w:fill="auto"/>
            <w:vAlign w:val="center"/>
          </w:tcPr>
          <w:p w14:paraId="11C3930A" w14:textId="5356AD2D"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1,920</w:t>
            </w:r>
          </w:p>
        </w:tc>
        <w:tc>
          <w:tcPr>
            <w:tcW w:w="584" w:type="pct"/>
            <w:shd w:val="clear" w:color="auto" w:fill="auto"/>
            <w:vAlign w:val="center"/>
          </w:tcPr>
          <w:p w14:paraId="16EC9145" w14:textId="5C23F21B"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2,935</w:t>
            </w:r>
          </w:p>
        </w:tc>
        <w:tc>
          <w:tcPr>
            <w:tcW w:w="625" w:type="pct"/>
            <w:shd w:val="clear" w:color="auto" w:fill="auto"/>
            <w:vAlign w:val="center"/>
          </w:tcPr>
          <w:p w14:paraId="0C8DC51C" w14:textId="628BA094" w:rsidR="00A52D95" w:rsidRPr="00ED172B" w:rsidRDefault="00860830" w:rsidP="00A52D95">
            <w:pPr>
              <w:jc w:val="center"/>
              <w:rPr>
                <w:rFonts w:cs="Arial"/>
                <w:color w:val="000000" w:themeColor="text1"/>
                <w:szCs w:val="16"/>
              </w:rPr>
            </w:pPr>
            <w:r w:rsidRPr="00ED172B">
              <w:rPr>
                <w:rFonts w:cs="Arial"/>
                <w:color w:val="000000" w:themeColor="text1"/>
                <w:szCs w:val="16"/>
              </w:rPr>
              <w:t>67.22%</w:t>
            </w:r>
          </w:p>
        </w:tc>
        <w:tc>
          <w:tcPr>
            <w:tcW w:w="543" w:type="pct"/>
            <w:shd w:val="clear" w:color="auto" w:fill="auto"/>
            <w:vAlign w:val="center"/>
          </w:tcPr>
          <w:p w14:paraId="35CF69C3" w14:textId="01F07FF3" w:rsidR="00A52D95" w:rsidRPr="00ED172B" w:rsidRDefault="002332D6">
            <w:pPr>
              <w:jc w:val="center"/>
              <w:rPr>
                <w:color w:val="000000" w:themeColor="text1"/>
              </w:rPr>
            </w:pPr>
            <w:r w:rsidRPr="00ED172B">
              <w:rPr>
                <w:color w:val="000000" w:themeColor="text1"/>
              </w:rPr>
              <w:t>70.00%</w:t>
            </w:r>
          </w:p>
        </w:tc>
        <w:tc>
          <w:tcPr>
            <w:tcW w:w="584" w:type="pct"/>
            <w:shd w:val="clear" w:color="auto" w:fill="auto"/>
            <w:vAlign w:val="center"/>
          </w:tcPr>
          <w:p w14:paraId="71192638" w14:textId="1D31FC82" w:rsidR="00A52D95" w:rsidRPr="00ED172B" w:rsidRDefault="00860830" w:rsidP="00A52D95">
            <w:pPr>
              <w:jc w:val="center"/>
              <w:rPr>
                <w:rFonts w:cs="Arial"/>
                <w:color w:val="000000" w:themeColor="text1"/>
                <w:szCs w:val="16"/>
              </w:rPr>
            </w:pPr>
            <w:r w:rsidRPr="00ED172B">
              <w:rPr>
                <w:rFonts w:cs="Arial"/>
                <w:color w:val="000000" w:themeColor="text1"/>
                <w:szCs w:val="16"/>
              </w:rPr>
              <w:t>65.42%</w:t>
            </w:r>
          </w:p>
        </w:tc>
        <w:tc>
          <w:tcPr>
            <w:tcW w:w="500" w:type="pct"/>
            <w:shd w:val="clear" w:color="auto" w:fill="auto"/>
            <w:vAlign w:val="center"/>
          </w:tcPr>
          <w:p w14:paraId="6CDC1E03" w14:textId="14CAA38F" w:rsidR="00A52D95" w:rsidRPr="00ED172B" w:rsidRDefault="00860830" w:rsidP="00A52D95">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53785A0A" w14:textId="15428806" w:rsidR="00A52D95" w:rsidRPr="00ED172B" w:rsidRDefault="00860830" w:rsidP="00A52D95">
            <w:pPr>
              <w:jc w:val="center"/>
              <w:rPr>
                <w:rFonts w:cs="Arial"/>
                <w:color w:val="000000" w:themeColor="text1"/>
                <w:szCs w:val="16"/>
              </w:rPr>
            </w:pPr>
            <w:r w:rsidRPr="00ED172B">
              <w:rPr>
                <w:rFonts w:cs="Arial"/>
                <w:color w:val="000000" w:themeColor="text1"/>
                <w:szCs w:val="16"/>
              </w:rPr>
              <w:t>Slippage</w:t>
            </w:r>
          </w:p>
        </w:tc>
      </w:tr>
    </w:tbl>
    <w:p w14:paraId="6D47C23C" w14:textId="4FEF2F28" w:rsidR="00814758" w:rsidRPr="00ED172B" w:rsidRDefault="00814758" w:rsidP="00814758">
      <w:pPr>
        <w:rPr>
          <w:rFonts w:cs="Arial"/>
          <w:b/>
          <w:i/>
          <w:color w:val="000000" w:themeColor="text1"/>
          <w:szCs w:val="16"/>
        </w:rPr>
      </w:pPr>
      <w:r w:rsidRPr="00ED172B">
        <w:rPr>
          <w:rFonts w:cs="Arial"/>
          <w:b/>
          <w:color w:val="000000" w:themeColor="text1"/>
          <w:szCs w:val="16"/>
        </w:rPr>
        <w:t xml:space="preserve">Provide reasons for A2 slippage, if applicable </w:t>
      </w:r>
    </w:p>
    <w:p w14:paraId="74F37393" w14:textId="6858F2AD" w:rsidR="00814758" w:rsidRDefault="001E39E3" w:rsidP="001E39E3">
      <w:pPr>
        <w:rPr>
          <w:color w:val="000000" w:themeColor="text1"/>
        </w:rPr>
      </w:pPr>
      <w:r w:rsidRPr="00ED172B">
        <w:rPr>
          <w:color w:val="000000" w:themeColor="text1"/>
        </w:rPr>
        <w:t>Louisiana did not meet its targets for either summary statement for Outcome A and experienced slippage of 1.80 percentage points for Summary Statement A2. The pandemic continued to have impact of the number of children making substantial progress due to children beginning services later, therefore in the program for less time and some families remaining hesitant to resume in-person services.</w:t>
      </w:r>
    </w:p>
    <w:p w14:paraId="688F26F1" w14:textId="77777777" w:rsidR="001A4B29" w:rsidRPr="00ED172B" w:rsidRDefault="001A4B29">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3"/>
      </w:tblPr>
      <w:tblGrid>
        <w:gridCol w:w="7094"/>
        <w:gridCol w:w="1683"/>
        <w:gridCol w:w="2013"/>
      </w:tblGrid>
      <w:tr w:rsidR="008320B5" w:rsidRPr="00ED172B" w14:paraId="38ECA25F" w14:textId="77777777" w:rsidTr="00A40EE1">
        <w:trPr>
          <w:trHeight w:val="361"/>
          <w:tblHeader/>
        </w:trPr>
        <w:tc>
          <w:tcPr>
            <w:tcW w:w="3287" w:type="pct"/>
            <w:shd w:val="clear" w:color="auto" w:fill="auto"/>
            <w:vAlign w:val="bottom"/>
          </w:tcPr>
          <w:p w14:paraId="56D5DB7E" w14:textId="0F55E0EC" w:rsidR="008320B5" w:rsidRPr="00ED172B" w:rsidRDefault="008320B5" w:rsidP="008320B5">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780" w:type="pct"/>
            <w:shd w:val="clear" w:color="auto" w:fill="auto"/>
            <w:vAlign w:val="center"/>
          </w:tcPr>
          <w:p w14:paraId="655258D9"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Number of Children</w:t>
            </w:r>
          </w:p>
        </w:tc>
        <w:tc>
          <w:tcPr>
            <w:tcW w:w="933" w:type="pct"/>
            <w:shd w:val="clear" w:color="auto" w:fill="auto"/>
          </w:tcPr>
          <w:p w14:paraId="23276223"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Percentage of Total</w:t>
            </w:r>
          </w:p>
        </w:tc>
      </w:tr>
      <w:tr w:rsidR="008320B5" w:rsidRPr="00ED172B" w14:paraId="26737EED" w14:textId="77777777" w:rsidTr="008320B5">
        <w:trPr>
          <w:trHeight w:val="361"/>
        </w:trPr>
        <w:tc>
          <w:tcPr>
            <w:tcW w:w="3287" w:type="pct"/>
            <w:shd w:val="clear" w:color="auto" w:fill="auto"/>
            <w:vAlign w:val="center"/>
          </w:tcPr>
          <w:p w14:paraId="691DDF31" w14:textId="77777777" w:rsidR="008320B5" w:rsidRPr="00ED172B" w:rsidRDefault="008320B5" w:rsidP="008320B5">
            <w:pPr>
              <w:rPr>
                <w:rFonts w:cs="Arial"/>
                <w:color w:val="000000" w:themeColor="text1"/>
                <w:szCs w:val="16"/>
              </w:rPr>
            </w:pPr>
            <w:r w:rsidRPr="00ED172B">
              <w:rPr>
                <w:rFonts w:cs="Arial"/>
                <w:color w:val="000000" w:themeColor="text1"/>
                <w:szCs w:val="16"/>
              </w:rPr>
              <w:t>a. Infants and toddlers who did not improve functioning</w:t>
            </w:r>
          </w:p>
        </w:tc>
        <w:tc>
          <w:tcPr>
            <w:tcW w:w="780" w:type="pct"/>
            <w:shd w:val="clear" w:color="auto" w:fill="auto"/>
            <w:vAlign w:val="center"/>
          </w:tcPr>
          <w:p w14:paraId="3A083BFC" w14:textId="1868720F" w:rsidR="008320B5" w:rsidRPr="00ED172B" w:rsidRDefault="008320B5" w:rsidP="008320B5">
            <w:pPr>
              <w:jc w:val="center"/>
              <w:rPr>
                <w:rFonts w:cs="Arial"/>
                <w:color w:val="000000" w:themeColor="text1"/>
                <w:szCs w:val="16"/>
              </w:rPr>
            </w:pPr>
            <w:r w:rsidRPr="00ED172B">
              <w:rPr>
                <w:rFonts w:cs="Arial"/>
                <w:color w:val="000000" w:themeColor="text1"/>
                <w:szCs w:val="16"/>
              </w:rPr>
              <w:t>28</w:t>
            </w:r>
          </w:p>
        </w:tc>
        <w:tc>
          <w:tcPr>
            <w:tcW w:w="933" w:type="pct"/>
            <w:shd w:val="clear" w:color="auto" w:fill="auto"/>
            <w:vAlign w:val="center"/>
          </w:tcPr>
          <w:p w14:paraId="68F1FC93" w14:textId="7D762D97" w:rsidR="008320B5" w:rsidRPr="00ED172B" w:rsidRDefault="008320B5" w:rsidP="008320B5">
            <w:pPr>
              <w:jc w:val="center"/>
              <w:rPr>
                <w:rFonts w:cs="Arial"/>
                <w:color w:val="000000" w:themeColor="text1"/>
                <w:szCs w:val="16"/>
              </w:rPr>
            </w:pPr>
            <w:r w:rsidRPr="00ED172B">
              <w:rPr>
                <w:rFonts w:cs="Arial"/>
                <w:color w:val="000000" w:themeColor="text1"/>
                <w:szCs w:val="16"/>
              </w:rPr>
              <w:t>0.95%</w:t>
            </w:r>
          </w:p>
        </w:tc>
      </w:tr>
      <w:tr w:rsidR="008320B5" w:rsidRPr="00ED172B" w14:paraId="288AFB66" w14:textId="77777777" w:rsidTr="008320B5">
        <w:trPr>
          <w:trHeight w:val="361"/>
        </w:trPr>
        <w:tc>
          <w:tcPr>
            <w:tcW w:w="3287" w:type="pct"/>
            <w:shd w:val="clear" w:color="auto" w:fill="auto"/>
            <w:vAlign w:val="center"/>
          </w:tcPr>
          <w:p w14:paraId="37D916AD" w14:textId="77777777" w:rsidR="008320B5" w:rsidRPr="00ED172B" w:rsidRDefault="008320B5" w:rsidP="008320B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80" w:type="pct"/>
            <w:shd w:val="clear" w:color="auto" w:fill="auto"/>
            <w:vAlign w:val="center"/>
          </w:tcPr>
          <w:p w14:paraId="1E47B6C1" w14:textId="25F0DF4F" w:rsidR="008320B5" w:rsidRPr="00ED172B" w:rsidRDefault="008320B5" w:rsidP="008320B5">
            <w:pPr>
              <w:jc w:val="center"/>
              <w:rPr>
                <w:rFonts w:cs="Arial"/>
                <w:color w:val="000000" w:themeColor="text1"/>
                <w:szCs w:val="16"/>
              </w:rPr>
            </w:pPr>
            <w:r w:rsidRPr="00ED172B">
              <w:rPr>
                <w:rFonts w:cs="Arial"/>
                <w:color w:val="000000" w:themeColor="text1"/>
                <w:szCs w:val="16"/>
              </w:rPr>
              <w:t>818</w:t>
            </w:r>
          </w:p>
        </w:tc>
        <w:tc>
          <w:tcPr>
            <w:tcW w:w="933" w:type="pct"/>
            <w:shd w:val="clear" w:color="auto" w:fill="auto"/>
            <w:vAlign w:val="center"/>
          </w:tcPr>
          <w:p w14:paraId="403ABDAA" w14:textId="14B26DF7" w:rsidR="008320B5" w:rsidRPr="00ED172B" w:rsidRDefault="008320B5" w:rsidP="008320B5">
            <w:pPr>
              <w:jc w:val="center"/>
              <w:rPr>
                <w:rFonts w:cs="Arial"/>
                <w:color w:val="000000" w:themeColor="text1"/>
                <w:szCs w:val="16"/>
              </w:rPr>
            </w:pPr>
            <w:r w:rsidRPr="00ED172B">
              <w:rPr>
                <w:rFonts w:cs="Arial"/>
                <w:color w:val="000000" w:themeColor="text1"/>
                <w:szCs w:val="16"/>
              </w:rPr>
              <w:t>27.87%</w:t>
            </w:r>
          </w:p>
        </w:tc>
      </w:tr>
      <w:tr w:rsidR="008320B5" w:rsidRPr="00ED172B" w14:paraId="73038092" w14:textId="77777777" w:rsidTr="008320B5">
        <w:trPr>
          <w:trHeight w:val="361"/>
        </w:trPr>
        <w:tc>
          <w:tcPr>
            <w:tcW w:w="3287" w:type="pct"/>
            <w:shd w:val="clear" w:color="auto" w:fill="auto"/>
            <w:vAlign w:val="center"/>
          </w:tcPr>
          <w:p w14:paraId="76DB4D52" w14:textId="77777777" w:rsidR="008320B5" w:rsidRPr="00ED172B" w:rsidRDefault="008320B5" w:rsidP="008320B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80" w:type="pct"/>
            <w:shd w:val="clear" w:color="auto" w:fill="auto"/>
            <w:vAlign w:val="center"/>
          </w:tcPr>
          <w:p w14:paraId="563237C0" w14:textId="24B3A202" w:rsidR="008320B5" w:rsidRPr="00ED172B" w:rsidRDefault="008320B5" w:rsidP="008320B5">
            <w:pPr>
              <w:jc w:val="center"/>
              <w:rPr>
                <w:rFonts w:cs="Arial"/>
                <w:color w:val="000000" w:themeColor="text1"/>
                <w:szCs w:val="16"/>
              </w:rPr>
            </w:pPr>
            <w:r w:rsidRPr="00ED172B">
              <w:rPr>
                <w:rFonts w:cs="Arial"/>
                <w:color w:val="000000" w:themeColor="text1"/>
                <w:szCs w:val="16"/>
              </w:rPr>
              <w:t>1,309</w:t>
            </w:r>
          </w:p>
        </w:tc>
        <w:tc>
          <w:tcPr>
            <w:tcW w:w="933" w:type="pct"/>
            <w:shd w:val="clear" w:color="auto" w:fill="auto"/>
            <w:vAlign w:val="center"/>
          </w:tcPr>
          <w:p w14:paraId="5F91AF6B" w14:textId="1C315B00" w:rsidR="008320B5" w:rsidRPr="00ED172B" w:rsidRDefault="008320B5" w:rsidP="008320B5">
            <w:pPr>
              <w:jc w:val="center"/>
              <w:rPr>
                <w:rFonts w:cs="Arial"/>
                <w:color w:val="000000" w:themeColor="text1"/>
                <w:szCs w:val="16"/>
              </w:rPr>
            </w:pPr>
            <w:r w:rsidRPr="00ED172B">
              <w:rPr>
                <w:rFonts w:cs="Arial"/>
                <w:color w:val="000000" w:themeColor="text1"/>
                <w:szCs w:val="16"/>
              </w:rPr>
              <w:t>44.60%</w:t>
            </w:r>
          </w:p>
        </w:tc>
      </w:tr>
      <w:tr w:rsidR="008320B5" w:rsidRPr="00ED172B" w14:paraId="3BA408AE" w14:textId="77777777" w:rsidTr="008320B5">
        <w:trPr>
          <w:trHeight w:val="361"/>
        </w:trPr>
        <w:tc>
          <w:tcPr>
            <w:tcW w:w="3287" w:type="pct"/>
            <w:shd w:val="clear" w:color="auto" w:fill="auto"/>
            <w:vAlign w:val="center"/>
          </w:tcPr>
          <w:p w14:paraId="68686609" w14:textId="77777777" w:rsidR="008320B5" w:rsidRPr="00ED172B" w:rsidRDefault="008320B5" w:rsidP="008320B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80" w:type="pct"/>
            <w:shd w:val="clear" w:color="auto" w:fill="auto"/>
            <w:vAlign w:val="center"/>
          </w:tcPr>
          <w:p w14:paraId="081F50FF" w14:textId="1A5AE512" w:rsidR="008320B5" w:rsidRPr="00ED172B" w:rsidRDefault="008320B5" w:rsidP="008320B5">
            <w:pPr>
              <w:jc w:val="center"/>
              <w:rPr>
                <w:rFonts w:cs="Arial"/>
                <w:color w:val="000000" w:themeColor="text1"/>
                <w:szCs w:val="16"/>
              </w:rPr>
            </w:pPr>
            <w:r w:rsidRPr="00ED172B">
              <w:rPr>
                <w:rFonts w:cs="Arial"/>
                <w:color w:val="000000" w:themeColor="text1"/>
                <w:szCs w:val="16"/>
              </w:rPr>
              <w:t>560</w:t>
            </w:r>
          </w:p>
        </w:tc>
        <w:tc>
          <w:tcPr>
            <w:tcW w:w="933" w:type="pct"/>
            <w:shd w:val="clear" w:color="auto" w:fill="auto"/>
            <w:vAlign w:val="center"/>
          </w:tcPr>
          <w:p w14:paraId="3473056D" w14:textId="2C7CC04E" w:rsidR="008320B5" w:rsidRPr="00ED172B" w:rsidRDefault="008320B5" w:rsidP="008320B5">
            <w:pPr>
              <w:jc w:val="center"/>
              <w:rPr>
                <w:rFonts w:cs="Arial"/>
                <w:color w:val="000000" w:themeColor="text1"/>
                <w:szCs w:val="16"/>
              </w:rPr>
            </w:pPr>
            <w:r w:rsidRPr="00ED172B">
              <w:rPr>
                <w:rFonts w:cs="Arial"/>
                <w:color w:val="000000" w:themeColor="text1"/>
                <w:szCs w:val="16"/>
              </w:rPr>
              <w:t>19.08%</w:t>
            </w:r>
          </w:p>
        </w:tc>
      </w:tr>
      <w:tr w:rsidR="008320B5" w:rsidRPr="00ED172B" w14:paraId="6C8244B9" w14:textId="77777777" w:rsidTr="008320B5">
        <w:trPr>
          <w:trHeight w:val="361"/>
        </w:trPr>
        <w:tc>
          <w:tcPr>
            <w:tcW w:w="3287" w:type="pct"/>
            <w:shd w:val="clear" w:color="auto" w:fill="auto"/>
            <w:vAlign w:val="center"/>
          </w:tcPr>
          <w:p w14:paraId="1EEDCC23" w14:textId="77777777" w:rsidR="008320B5" w:rsidRPr="00ED172B" w:rsidRDefault="008320B5" w:rsidP="008320B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80" w:type="pct"/>
            <w:shd w:val="clear" w:color="auto" w:fill="auto"/>
            <w:vAlign w:val="center"/>
          </w:tcPr>
          <w:p w14:paraId="23BD14C9" w14:textId="2C129BD0" w:rsidR="008320B5" w:rsidRPr="00ED172B" w:rsidRDefault="008320B5" w:rsidP="008320B5">
            <w:pPr>
              <w:jc w:val="center"/>
              <w:rPr>
                <w:rFonts w:cs="Arial"/>
                <w:color w:val="000000" w:themeColor="text1"/>
                <w:szCs w:val="16"/>
              </w:rPr>
            </w:pPr>
            <w:r w:rsidRPr="00ED172B">
              <w:rPr>
                <w:rFonts w:cs="Arial"/>
                <w:color w:val="000000" w:themeColor="text1"/>
                <w:szCs w:val="16"/>
              </w:rPr>
              <w:t>220</w:t>
            </w:r>
          </w:p>
        </w:tc>
        <w:tc>
          <w:tcPr>
            <w:tcW w:w="933" w:type="pct"/>
            <w:shd w:val="clear" w:color="auto" w:fill="auto"/>
            <w:vAlign w:val="center"/>
          </w:tcPr>
          <w:p w14:paraId="27D33418" w14:textId="48EA37BE" w:rsidR="008320B5" w:rsidRPr="00ED172B" w:rsidRDefault="008320B5" w:rsidP="008320B5">
            <w:pPr>
              <w:jc w:val="center"/>
              <w:rPr>
                <w:rFonts w:cs="Arial"/>
                <w:color w:val="000000" w:themeColor="text1"/>
                <w:szCs w:val="16"/>
              </w:rPr>
            </w:pPr>
            <w:r w:rsidRPr="00ED172B">
              <w:rPr>
                <w:rFonts w:cs="Arial"/>
                <w:color w:val="000000" w:themeColor="text1"/>
                <w:szCs w:val="16"/>
              </w:rPr>
              <w:t>7.50%</w:t>
            </w:r>
          </w:p>
        </w:tc>
      </w:tr>
    </w:tbl>
    <w:p w14:paraId="5C935C66" w14:textId="77777777" w:rsidR="001A4B29" w:rsidRPr="00ED172B" w:rsidRDefault="001A4B29" w:rsidP="00834FB7">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4"/>
      </w:tblPr>
      <w:tblGrid>
        <w:gridCol w:w="2425"/>
        <w:gridCol w:w="1170"/>
        <w:gridCol w:w="1260"/>
        <w:gridCol w:w="1350"/>
        <w:gridCol w:w="1440"/>
        <w:gridCol w:w="1260"/>
        <w:gridCol w:w="990"/>
        <w:gridCol w:w="895"/>
      </w:tblGrid>
      <w:tr w:rsidR="00ED172B" w:rsidRPr="00ED172B" w14:paraId="426DC907" w14:textId="77777777" w:rsidTr="00986B99">
        <w:trPr>
          <w:tblHeader/>
        </w:trPr>
        <w:tc>
          <w:tcPr>
            <w:tcW w:w="2425" w:type="dxa"/>
            <w:shd w:val="clear" w:color="auto" w:fill="auto"/>
            <w:vAlign w:val="bottom"/>
          </w:tcPr>
          <w:p w14:paraId="1C4CA42D" w14:textId="2558B442" w:rsidR="00037032" w:rsidRPr="00A40EE1" w:rsidRDefault="008320B5" w:rsidP="00B83404">
            <w:pPr>
              <w:rPr>
                <w:b/>
                <w:bCs/>
                <w:color w:val="000000" w:themeColor="text1"/>
              </w:rPr>
            </w:pPr>
            <w:r w:rsidRPr="00A40EE1">
              <w:rPr>
                <w:b/>
                <w:bCs/>
                <w:color w:val="000000" w:themeColor="text1"/>
              </w:rPr>
              <w:t>Outcome B</w:t>
            </w:r>
          </w:p>
        </w:tc>
        <w:tc>
          <w:tcPr>
            <w:tcW w:w="1170" w:type="dxa"/>
            <w:shd w:val="clear" w:color="auto" w:fill="auto"/>
            <w:vAlign w:val="bottom"/>
          </w:tcPr>
          <w:p w14:paraId="43431423" w14:textId="77777777" w:rsidR="00037032" w:rsidRPr="00ED172B" w:rsidRDefault="00037032" w:rsidP="00037032">
            <w:pPr>
              <w:keepNext/>
              <w:jc w:val="center"/>
              <w:rPr>
                <w:b/>
                <w:color w:val="000000" w:themeColor="text1"/>
                <w:szCs w:val="16"/>
              </w:rPr>
            </w:pPr>
            <w:r w:rsidRPr="00ED172B">
              <w:rPr>
                <w:b/>
                <w:color w:val="000000" w:themeColor="text1"/>
                <w:szCs w:val="16"/>
              </w:rPr>
              <w:t>Numerator</w:t>
            </w:r>
          </w:p>
        </w:tc>
        <w:tc>
          <w:tcPr>
            <w:tcW w:w="1260" w:type="dxa"/>
            <w:shd w:val="clear" w:color="auto" w:fill="auto"/>
            <w:vAlign w:val="bottom"/>
          </w:tcPr>
          <w:p w14:paraId="7F68489F" w14:textId="77777777" w:rsidR="00037032" w:rsidRPr="00ED172B" w:rsidRDefault="00037032" w:rsidP="00037032">
            <w:pPr>
              <w:keepNext/>
              <w:jc w:val="center"/>
              <w:rPr>
                <w:b/>
                <w:color w:val="000000" w:themeColor="text1"/>
                <w:szCs w:val="16"/>
              </w:rPr>
            </w:pPr>
            <w:r w:rsidRPr="00ED172B">
              <w:rPr>
                <w:b/>
                <w:color w:val="000000" w:themeColor="text1"/>
                <w:szCs w:val="16"/>
              </w:rPr>
              <w:t>Denominator</w:t>
            </w:r>
          </w:p>
        </w:tc>
        <w:tc>
          <w:tcPr>
            <w:tcW w:w="1350" w:type="dxa"/>
            <w:shd w:val="clear" w:color="auto" w:fill="auto"/>
            <w:vAlign w:val="bottom"/>
          </w:tcPr>
          <w:p w14:paraId="5EB6E7A8" w14:textId="06159062" w:rsidR="00037032" w:rsidRPr="00ED172B" w:rsidRDefault="00CD74B5" w:rsidP="00037032">
            <w:pPr>
              <w:keepNext/>
              <w:jc w:val="center"/>
              <w:rPr>
                <w:b/>
                <w:color w:val="000000" w:themeColor="text1"/>
                <w:szCs w:val="16"/>
              </w:rPr>
            </w:pPr>
            <w:r>
              <w:rPr>
                <w:rFonts w:cs="Arial"/>
                <w:b/>
                <w:color w:val="000000" w:themeColor="text1"/>
                <w:szCs w:val="16"/>
              </w:rPr>
              <w:t>FFY 2022 Data</w:t>
            </w:r>
          </w:p>
        </w:tc>
        <w:tc>
          <w:tcPr>
            <w:tcW w:w="1440" w:type="dxa"/>
            <w:shd w:val="clear" w:color="auto" w:fill="auto"/>
            <w:vAlign w:val="bottom"/>
          </w:tcPr>
          <w:p w14:paraId="29E20774" w14:textId="0450BDB9" w:rsidR="00037032" w:rsidRPr="00ED172B" w:rsidRDefault="00F22D09" w:rsidP="00037032">
            <w:pPr>
              <w:keepNext/>
              <w:jc w:val="center"/>
              <w:rPr>
                <w:b/>
                <w:color w:val="000000" w:themeColor="text1"/>
                <w:szCs w:val="16"/>
              </w:rPr>
            </w:pPr>
            <w:r>
              <w:rPr>
                <w:rFonts w:cs="Arial"/>
                <w:b/>
                <w:color w:val="000000" w:themeColor="text1"/>
                <w:szCs w:val="16"/>
              </w:rPr>
              <w:t>FFY 2023 Target</w:t>
            </w:r>
          </w:p>
        </w:tc>
        <w:tc>
          <w:tcPr>
            <w:tcW w:w="1260" w:type="dxa"/>
            <w:shd w:val="clear" w:color="auto" w:fill="auto"/>
            <w:vAlign w:val="bottom"/>
          </w:tcPr>
          <w:p w14:paraId="5F44A470" w14:textId="288B0593" w:rsidR="00037032" w:rsidRPr="00ED172B" w:rsidRDefault="00F22D09" w:rsidP="00037032">
            <w:pPr>
              <w:keepNext/>
              <w:jc w:val="center"/>
              <w:rPr>
                <w:b/>
                <w:color w:val="000000" w:themeColor="text1"/>
                <w:szCs w:val="16"/>
              </w:rPr>
            </w:pPr>
            <w:r>
              <w:rPr>
                <w:rFonts w:cs="Arial"/>
                <w:b/>
                <w:color w:val="000000" w:themeColor="text1"/>
                <w:szCs w:val="16"/>
              </w:rPr>
              <w:t>FFY 2023 Data</w:t>
            </w:r>
          </w:p>
        </w:tc>
        <w:tc>
          <w:tcPr>
            <w:tcW w:w="990" w:type="dxa"/>
            <w:shd w:val="clear" w:color="auto" w:fill="auto"/>
            <w:vAlign w:val="bottom"/>
          </w:tcPr>
          <w:p w14:paraId="67653879" w14:textId="77777777" w:rsidR="00037032" w:rsidRPr="00ED172B" w:rsidRDefault="00037032" w:rsidP="00037032">
            <w:pPr>
              <w:keepNext/>
              <w:jc w:val="center"/>
              <w:rPr>
                <w:b/>
                <w:color w:val="000000" w:themeColor="text1"/>
                <w:szCs w:val="16"/>
              </w:rPr>
            </w:pPr>
            <w:r w:rsidRPr="00ED172B">
              <w:rPr>
                <w:b/>
                <w:color w:val="000000" w:themeColor="text1"/>
                <w:szCs w:val="16"/>
              </w:rPr>
              <w:t>Status</w:t>
            </w:r>
          </w:p>
        </w:tc>
        <w:tc>
          <w:tcPr>
            <w:tcW w:w="895" w:type="dxa"/>
            <w:shd w:val="clear" w:color="auto" w:fill="auto"/>
            <w:vAlign w:val="bottom"/>
          </w:tcPr>
          <w:p w14:paraId="3134675B" w14:textId="77777777" w:rsidR="00037032" w:rsidRPr="00ED172B" w:rsidRDefault="00037032" w:rsidP="00037032">
            <w:pPr>
              <w:keepNext/>
              <w:jc w:val="center"/>
              <w:rPr>
                <w:b/>
                <w:color w:val="000000" w:themeColor="text1"/>
                <w:szCs w:val="16"/>
              </w:rPr>
            </w:pPr>
            <w:r w:rsidRPr="00ED172B">
              <w:rPr>
                <w:b/>
                <w:color w:val="000000" w:themeColor="text1"/>
                <w:szCs w:val="16"/>
              </w:rPr>
              <w:t>Slippage</w:t>
            </w:r>
          </w:p>
        </w:tc>
      </w:tr>
      <w:tr w:rsidR="00ED172B" w:rsidRPr="00ED172B" w14:paraId="72C37BA4" w14:textId="77777777" w:rsidTr="00986B99">
        <w:tc>
          <w:tcPr>
            <w:tcW w:w="2425" w:type="dxa"/>
            <w:shd w:val="clear" w:color="auto" w:fill="auto"/>
          </w:tcPr>
          <w:p w14:paraId="2B9C0382" w14:textId="75222183" w:rsidR="0025243E" w:rsidRPr="00ED172B" w:rsidRDefault="0025243E" w:rsidP="0025243E">
            <w:pPr>
              <w:rPr>
                <w:color w:val="000000" w:themeColor="text1"/>
                <w:szCs w:val="16"/>
              </w:rPr>
            </w:pPr>
            <w:r w:rsidRPr="00ED172B">
              <w:rPr>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1170" w:type="dxa"/>
            <w:shd w:val="clear" w:color="auto" w:fill="auto"/>
            <w:vAlign w:val="center"/>
          </w:tcPr>
          <w:p w14:paraId="1B3F5F8E" w14:textId="16D7DA0C" w:rsidR="0025243E" w:rsidRPr="00ED172B" w:rsidRDefault="00860830" w:rsidP="0025243E">
            <w:pPr>
              <w:pStyle w:val="Explain"/>
              <w:jc w:val="center"/>
              <w:rPr>
                <w:color w:val="000000" w:themeColor="text1"/>
                <w:szCs w:val="16"/>
              </w:rPr>
            </w:pPr>
            <w:r w:rsidRPr="00ED172B">
              <w:rPr>
                <w:rFonts w:cs="Arial"/>
                <w:color w:val="000000" w:themeColor="text1"/>
                <w:szCs w:val="16"/>
              </w:rPr>
              <w:t>1,869</w:t>
            </w:r>
          </w:p>
        </w:tc>
        <w:tc>
          <w:tcPr>
            <w:tcW w:w="1260" w:type="dxa"/>
            <w:shd w:val="clear" w:color="auto" w:fill="auto"/>
            <w:vAlign w:val="center"/>
          </w:tcPr>
          <w:p w14:paraId="69418F71" w14:textId="0A3DF352" w:rsidR="0025243E" w:rsidRPr="00ED172B" w:rsidRDefault="00860830" w:rsidP="0025243E">
            <w:pPr>
              <w:pStyle w:val="Explain"/>
              <w:jc w:val="center"/>
              <w:rPr>
                <w:color w:val="000000" w:themeColor="text1"/>
                <w:szCs w:val="16"/>
              </w:rPr>
            </w:pPr>
            <w:r w:rsidRPr="00ED172B">
              <w:rPr>
                <w:rFonts w:cs="Arial"/>
                <w:color w:val="000000" w:themeColor="text1"/>
                <w:szCs w:val="16"/>
              </w:rPr>
              <w:t>2,715</w:t>
            </w:r>
          </w:p>
        </w:tc>
        <w:tc>
          <w:tcPr>
            <w:tcW w:w="1350" w:type="dxa"/>
            <w:shd w:val="clear" w:color="auto" w:fill="auto"/>
            <w:vAlign w:val="center"/>
          </w:tcPr>
          <w:p w14:paraId="1328DF7C" w14:textId="3BBB4246" w:rsidR="0025243E" w:rsidRPr="00ED172B" w:rsidRDefault="00860830" w:rsidP="0025243E">
            <w:pPr>
              <w:jc w:val="center"/>
              <w:rPr>
                <w:color w:val="000000" w:themeColor="text1"/>
                <w:szCs w:val="16"/>
              </w:rPr>
            </w:pPr>
            <w:r w:rsidRPr="00ED172B">
              <w:rPr>
                <w:rFonts w:cs="Arial"/>
                <w:color w:val="000000" w:themeColor="text1"/>
                <w:szCs w:val="16"/>
              </w:rPr>
              <w:t>69.04%</w:t>
            </w:r>
          </w:p>
        </w:tc>
        <w:tc>
          <w:tcPr>
            <w:tcW w:w="1440" w:type="dxa"/>
            <w:shd w:val="clear" w:color="auto" w:fill="auto"/>
            <w:vAlign w:val="center"/>
          </w:tcPr>
          <w:p w14:paraId="22124E13" w14:textId="0EE25560" w:rsidR="0025243E" w:rsidRPr="00ED172B" w:rsidRDefault="001E39E3" w:rsidP="001E39E3">
            <w:pPr>
              <w:jc w:val="center"/>
              <w:rPr>
                <w:color w:val="000000" w:themeColor="text1"/>
              </w:rPr>
            </w:pPr>
            <w:r w:rsidRPr="00ED172B">
              <w:rPr>
                <w:color w:val="000000" w:themeColor="text1"/>
              </w:rPr>
              <w:t>74.00%</w:t>
            </w:r>
          </w:p>
        </w:tc>
        <w:tc>
          <w:tcPr>
            <w:tcW w:w="1260" w:type="dxa"/>
            <w:shd w:val="clear" w:color="auto" w:fill="auto"/>
            <w:vAlign w:val="center"/>
          </w:tcPr>
          <w:p w14:paraId="3349E0F5" w14:textId="45710C91" w:rsidR="0025243E" w:rsidRPr="00ED172B" w:rsidRDefault="00860830" w:rsidP="0025243E">
            <w:pPr>
              <w:jc w:val="center"/>
              <w:rPr>
                <w:color w:val="000000" w:themeColor="text1"/>
                <w:szCs w:val="16"/>
              </w:rPr>
            </w:pPr>
            <w:r w:rsidRPr="00ED172B">
              <w:rPr>
                <w:rFonts w:cs="Arial"/>
                <w:color w:val="000000" w:themeColor="text1"/>
                <w:szCs w:val="16"/>
              </w:rPr>
              <w:t>68.84%</w:t>
            </w:r>
          </w:p>
        </w:tc>
        <w:tc>
          <w:tcPr>
            <w:tcW w:w="990" w:type="dxa"/>
            <w:shd w:val="clear" w:color="auto" w:fill="auto"/>
            <w:vAlign w:val="center"/>
          </w:tcPr>
          <w:p w14:paraId="3447D75E" w14:textId="06809E10" w:rsidR="0025243E" w:rsidRPr="00ED172B" w:rsidRDefault="00860830" w:rsidP="0025243E">
            <w:pPr>
              <w:jc w:val="center"/>
              <w:rPr>
                <w:color w:val="000000" w:themeColor="text1"/>
                <w:szCs w:val="16"/>
              </w:rPr>
            </w:pPr>
            <w:r w:rsidRPr="00ED172B">
              <w:rPr>
                <w:rFonts w:cs="Arial"/>
                <w:color w:val="000000" w:themeColor="text1"/>
                <w:szCs w:val="16"/>
              </w:rPr>
              <w:t>Did not meet target</w:t>
            </w:r>
          </w:p>
        </w:tc>
        <w:tc>
          <w:tcPr>
            <w:tcW w:w="895" w:type="dxa"/>
            <w:shd w:val="clear" w:color="auto" w:fill="auto"/>
            <w:vAlign w:val="center"/>
          </w:tcPr>
          <w:p w14:paraId="431E0C1D" w14:textId="1EB28E25"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r w:rsidR="00ED172B" w:rsidRPr="00ED172B" w14:paraId="2CC355D5" w14:textId="77777777" w:rsidTr="00986B99">
        <w:tc>
          <w:tcPr>
            <w:tcW w:w="2425" w:type="dxa"/>
            <w:shd w:val="clear" w:color="auto" w:fill="auto"/>
          </w:tcPr>
          <w:p w14:paraId="3A58CD95" w14:textId="662FCD97" w:rsidR="0025243E" w:rsidRPr="00ED172B" w:rsidRDefault="0025243E" w:rsidP="0025243E">
            <w:pPr>
              <w:rPr>
                <w:color w:val="000000" w:themeColor="text1"/>
                <w:szCs w:val="16"/>
              </w:rPr>
            </w:pPr>
            <w:r w:rsidRPr="00ED172B">
              <w:rPr>
                <w:color w:val="000000" w:themeColor="text1"/>
                <w:szCs w:val="16"/>
              </w:rPr>
              <w:t>B2. The percent of infants and toddlers who were functioning within age expectations in Outcome B by the time they turned 3 years of age or exited the program</w:t>
            </w:r>
          </w:p>
        </w:tc>
        <w:tc>
          <w:tcPr>
            <w:tcW w:w="1170" w:type="dxa"/>
            <w:shd w:val="clear" w:color="auto" w:fill="auto"/>
            <w:vAlign w:val="center"/>
          </w:tcPr>
          <w:p w14:paraId="7BD3B0C8" w14:textId="05D543FE" w:rsidR="0025243E" w:rsidRPr="00ED172B" w:rsidRDefault="00860830" w:rsidP="0025243E">
            <w:pPr>
              <w:pStyle w:val="Explain"/>
              <w:jc w:val="center"/>
              <w:rPr>
                <w:color w:val="000000" w:themeColor="text1"/>
                <w:szCs w:val="16"/>
              </w:rPr>
            </w:pPr>
            <w:r w:rsidRPr="00ED172B">
              <w:rPr>
                <w:rFonts w:cs="Arial"/>
                <w:color w:val="000000" w:themeColor="text1"/>
                <w:szCs w:val="16"/>
              </w:rPr>
              <w:t>780</w:t>
            </w:r>
          </w:p>
        </w:tc>
        <w:tc>
          <w:tcPr>
            <w:tcW w:w="1260" w:type="dxa"/>
            <w:shd w:val="clear" w:color="auto" w:fill="auto"/>
            <w:vAlign w:val="center"/>
          </w:tcPr>
          <w:p w14:paraId="0331D8D4" w14:textId="0C26EA63" w:rsidR="0025243E" w:rsidRPr="00ED172B" w:rsidRDefault="00860830" w:rsidP="0025243E">
            <w:pPr>
              <w:pStyle w:val="Explain"/>
              <w:jc w:val="center"/>
              <w:rPr>
                <w:color w:val="000000" w:themeColor="text1"/>
                <w:szCs w:val="16"/>
              </w:rPr>
            </w:pPr>
            <w:r w:rsidRPr="00ED172B">
              <w:rPr>
                <w:rFonts w:cs="Arial"/>
                <w:color w:val="000000" w:themeColor="text1"/>
                <w:szCs w:val="16"/>
              </w:rPr>
              <w:t>2,935</w:t>
            </w:r>
          </w:p>
        </w:tc>
        <w:tc>
          <w:tcPr>
            <w:tcW w:w="1350" w:type="dxa"/>
            <w:shd w:val="clear" w:color="auto" w:fill="auto"/>
            <w:vAlign w:val="center"/>
          </w:tcPr>
          <w:p w14:paraId="2A57ED59" w14:textId="66F4F203" w:rsidR="0025243E" w:rsidRPr="00ED172B" w:rsidRDefault="00860830" w:rsidP="0025243E">
            <w:pPr>
              <w:jc w:val="center"/>
              <w:rPr>
                <w:color w:val="000000" w:themeColor="text1"/>
                <w:szCs w:val="16"/>
              </w:rPr>
            </w:pPr>
            <w:r w:rsidRPr="00ED172B">
              <w:rPr>
                <w:rFonts w:cs="Arial"/>
                <w:color w:val="000000" w:themeColor="text1"/>
                <w:szCs w:val="16"/>
              </w:rPr>
              <w:t>27.21%</w:t>
            </w:r>
          </w:p>
        </w:tc>
        <w:tc>
          <w:tcPr>
            <w:tcW w:w="1440" w:type="dxa"/>
            <w:shd w:val="clear" w:color="auto" w:fill="auto"/>
            <w:vAlign w:val="center"/>
          </w:tcPr>
          <w:p w14:paraId="0A3928E2" w14:textId="4D437C60" w:rsidR="0025243E" w:rsidRPr="00ED172B" w:rsidRDefault="001E39E3" w:rsidP="001E39E3">
            <w:pPr>
              <w:jc w:val="center"/>
              <w:rPr>
                <w:color w:val="000000" w:themeColor="text1"/>
              </w:rPr>
            </w:pPr>
            <w:r w:rsidRPr="00ED172B">
              <w:rPr>
                <w:color w:val="000000" w:themeColor="text1"/>
              </w:rPr>
              <w:t>34.50%</w:t>
            </w:r>
          </w:p>
        </w:tc>
        <w:tc>
          <w:tcPr>
            <w:tcW w:w="1260" w:type="dxa"/>
            <w:shd w:val="clear" w:color="auto" w:fill="auto"/>
            <w:vAlign w:val="center"/>
          </w:tcPr>
          <w:p w14:paraId="4DE21D66" w14:textId="24DBBCB4" w:rsidR="0025243E" w:rsidRPr="00ED172B" w:rsidRDefault="00860830" w:rsidP="0025243E">
            <w:pPr>
              <w:jc w:val="center"/>
              <w:rPr>
                <w:color w:val="000000" w:themeColor="text1"/>
                <w:szCs w:val="16"/>
              </w:rPr>
            </w:pPr>
            <w:r w:rsidRPr="00ED172B">
              <w:rPr>
                <w:rFonts w:cs="Arial"/>
                <w:color w:val="000000" w:themeColor="text1"/>
                <w:szCs w:val="16"/>
              </w:rPr>
              <w:t>26.58%</w:t>
            </w:r>
          </w:p>
        </w:tc>
        <w:tc>
          <w:tcPr>
            <w:tcW w:w="990" w:type="dxa"/>
            <w:shd w:val="clear" w:color="auto" w:fill="auto"/>
            <w:vAlign w:val="center"/>
          </w:tcPr>
          <w:p w14:paraId="768EADD7" w14:textId="4C831686" w:rsidR="0025243E" w:rsidRPr="00ED172B" w:rsidRDefault="00860830" w:rsidP="0025243E">
            <w:pPr>
              <w:jc w:val="center"/>
              <w:rPr>
                <w:color w:val="000000" w:themeColor="text1"/>
                <w:szCs w:val="16"/>
              </w:rPr>
            </w:pPr>
            <w:r w:rsidRPr="00ED172B">
              <w:rPr>
                <w:rFonts w:cs="Arial"/>
                <w:color w:val="000000" w:themeColor="text1"/>
                <w:szCs w:val="16"/>
              </w:rPr>
              <w:t>Did not meet target</w:t>
            </w:r>
          </w:p>
        </w:tc>
        <w:tc>
          <w:tcPr>
            <w:tcW w:w="895" w:type="dxa"/>
            <w:shd w:val="clear" w:color="auto" w:fill="auto"/>
            <w:vAlign w:val="center"/>
          </w:tcPr>
          <w:p w14:paraId="5AAFFE80" w14:textId="1EDD2D3F"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bl>
    <w:p w14:paraId="59C78231" w14:textId="77777777" w:rsidR="001A4B29" w:rsidRPr="00ED172B" w:rsidRDefault="001A4B29">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5"/>
      </w:tblPr>
      <w:tblGrid>
        <w:gridCol w:w="7227"/>
        <w:gridCol w:w="1783"/>
        <w:gridCol w:w="1780"/>
      </w:tblGrid>
      <w:tr w:rsidR="00ED172B" w:rsidRPr="00ED172B" w14:paraId="0670BD1B" w14:textId="77777777" w:rsidTr="00986B99">
        <w:trPr>
          <w:trHeight w:val="361"/>
          <w:tblHeader/>
        </w:trPr>
        <w:tc>
          <w:tcPr>
            <w:tcW w:w="3349" w:type="pct"/>
            <w:shd w:val="clear" w:color="auto" w:fill="auto"/>
          </w:tcPr>
          <w:p w14:paraId="55DA6E56" w14:textId="69857475" w:rsidR="001A4B29" w:rsidRPr="00ED172B" w:rsidRDefault="008320B5" w:rsidP="00834FB7">
            <w:pPr>
              <w:rPr>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826" w:type="pct"/>
            <w:shd w:val="clear" w:color="auto" w:fill="auto"/>
            <w:vAlign w:val="center"/>
          </w:tcPr>
          <w:p w14:paraId="37C7BF98" w14:textId="77777777" w:rsidR="001A4B29" w:rsidRPr="00ED172B" w:rsidRDefault="001A4B29" w:rsidP="00186420">
            <w:pPr>
              <w:jc w:val="center"/>
              <w:rPr>
                <w:b/>
                <w:color w:val="000000" w:themeColor="text1"/>
                <w:szCs w:val="16"/>
              </w:rPr>
            </w:pPr>
            <w:r w:rsidRPr="00ED172B">
              <w:rPr>
                <w:b/>
                <w:color w:val="000000" w:themeColor="text1"/>
                <w:szCs w:val="16"/>
              </w:rPr>
              <w:t>Number of Children</w:t>
            </w:r>
          </w:p>
        </w:tc>
        <w:tc>
          <w:tcPr>
            <w:tcW w:w="825" w:type="pct"/>
            <w:shd w:val="clear" w:color="auto" w:fill="auto"/>
          </w:tcPr>
          <w:p w14:paraId="050E08B5" w14:textId="77777777" w:rsidR="001A4B29" w:rsidRPr="00ED172B" w:rsidRDefault="001A4B29" w:rsidP="00186420">
            <w:pPr>
              <w:jc w:val="center"/>
              <w:rPr>
                <w:b/>
                <w:color w:val="000000" w:themeColor="text1"/>
                <w:szCs w:val="16"/>
              </w:rPr>
            </w:pPr>
            <w:r w:rsidRPr="00ED172B">
              <w:rPr>
                <w:b/>
                <w:color w:val="000000" w:themeColor="text1"/>
                <w:szCs w:val="16"/>
              </w:rPr>
              <w:t>Percentage of Total</w:t>
            </w:r>
          </w:p>
        </w:tc>
      </w:tr>
      <w:tr w:rsidR="00ED172B" w:rsidRPr="00ED172B" w14:paraId="7046EF17" w14:textId="77777777" w:rsidTr="00986B99">
        <w:trPr>
          <w:trHeight w:val="361"/>
        </w:trPr>
        <w:tc>
          <w:tcPr>
            <w:tcW w:w="3349" w:type="pct"/>
            <w:shd w:val="clear" w:color="auto" w:fill="auto"/>
            <w:vAlign w:val="center"/>
          </w:tcPr>
          <w:p w14:paraId="2E1374E0" w14:textId="77777777" w:rsidR="0025243E" w:rsidRPr="00ED172B" w:rsidRDefault="0025243E" w:rsidP="0025243E">
            <w:pPr>
              <w:rPr>
                <w:color w:val="000000" w:themeColor="text1"/>
                <w:szCs w:val="16"/>
              </w:rPr>
            </w:pPr>
            <w:r w:rsidRPr="00ED172B">
              <w:rPr>
                <w:color w:val="000000" w:themeColor="text1"/>
                <w:szCs w:val="16"/>
              </w:rPr>
              <w:t>a. Infants and toddlers who did not improve functioning</w:t>
            </w:r>
          </w:p>
        </w:tc>
        <w:tc>
          <w:tcPr>
            <w:tcW w:w="826" w:type="pct"/>
            <w:shd w:val="clear" w:color="auto" w:fill="auto"/>
            <w:vAlign w:val="center"/>
          </w:tcPr>
          <w:p w14:paraId="3B777477" w14:textId="18BAA08D" w:rsidR="0025243E" w:rsidRPr="00ED172B" w:rsidRDefault="00860830" w:rsidP="00186420">
            <w:pPr>
              <w:jc w:val="center"/>
              <w:rPr>
                <w:color w:val="000000" w:themeColor="text1"/>
                <w:szCs w:val="16"/>
              </w:rPr>
            </w:pPr>
            <w:r w:rsidRPr="00ED172B">
              <w:rPr>
                <w:rFonts w:cs="Arial"/>
                <w:color w:val="000000" w:themeColor="text1"/>
                <w:szCs w:val="16"/>
              </w:rPr>
              <w:t>23</w:t>
            </w:r>
          </w:p>
        </w:tc>
        <w:tc>
          <w:tcPr>
            <w:tcW w:w="825" w:type="pct"/>
            <w:shd w:val="clear" w:color="auto" w:fill="auto"/>
            <w:vAlign w:val="center"/>
          </w:tcPr>
          <w:p w14:paraId="70BBD0D2" w14:textId="12CFD7D1" w:rsidR="0025243E" w:rsidRPr="00ED172B" w:rsidRDefault="00860830" w:rsidP="00186420">
            <w:pPr>
              <w:jc w:val="center"/>
              <w:rPr>
                <w:color w:val="000000" w:themeColor="text1"/>
                <w:szCs w:val="16"/>
              </w:rPr>
            </w:pPr>
            <w:r w:rsidRPr="00ED172B">
              <w:rPr>
                <w:rFonts w:cs="Arial"/>
                <w:color w:val="000000" w:themeColor="text1"/>
                <w:szCs w:val="16"/>
              </w:rPr>
              <w:t>0.78%</w:t>
            </w:r>
          </w:p>
        </w:tc>
      </w:tr>
      <w:tr w:rsidR="00ED172B" w:rsidRPr="00ED172B" w14:paraId="24C9073D" w14:textId="77777777" w:rsidTr="00986B99">
        <w:trPr>
          <w:trHeight w:val="361"/>
        </w:trPr>
        <w:tc>
          <w:tcPr>
            <w:tcW w:w="3349" w:type="pct"/>
            <w:shd w:val="clear" w:color="auto" w:fill="auto"/>
            <w:vAlign w:val="center"/>
          </w:tcPr>
          <w:p w14:paraId="6C4F2749" w14:textId="77777777" w:rsidR="0025243E" w:rsidRPr="00ED172B" w:rsidRDefault="0025243E" w:rsidP="0025243E">
            <w:pPr>
              <w:rPr>
                <w:color w:val="000000" w:themeColor="text1"/>
                <w:szCs w:val="16"/>
              </w:rPr>
            </w:pPr>
            <w:r w:rsidRPr="00ED172B">
              <w:rPr>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3A304F2" w14:textId="12FCFEE3" w:rsidR="0025243E" w:rsidRPr="00ED172B" w:rsidRDefault="00860830" w:rsidP="00186420">
            <w:pPr>
              <w:jc w:val="center"/>
              <w:rPr>
                <w:color w:val="000000" w:themeColor="text1"/>
                <w:szCs w:val="16"/>
              </w:rPr>
            </w:pPr>
            <w:r w:rsidRPr="00ED172B">
              <w:rPr>
                <w:rFonts w:cs="Arial"/>
                <w:color w:val="000000" w:themeColor="text1"/>
                <w:szCs w:val="16"/>
              </w:rPr>
              <w:t>332</w:t>
            </w:r>
          </w:p>
        </w:tc>
        <w:tc>
          <w:tcPr>
            <w:tcW w:w="825" w:type="pct"/>
            <w:shd w:val="clear" w:color="auto" w:fill="auto"/>
            <w:vAlign w:val="center"/>
          </w:tcPr>
          <w:p w14:paraId="10018146" w14:textId="60B7FF05" w:rsidR="0025243E" w:rsidRPr="00ED172B" w:rsidRDefault="00860830" w:rsidP="00186420">
            <w:pPr>
              <w:jc w:val="center"/>
              <w:rPr>
                <w:color w:val="000000" w:themeColor="text1"/>
                <w:szCs w:val="16"/>
              </w:rPr>
            </w:pPr>
            <w:r w:rsidRPr="00ED172B">
              <w:rPr>
                <w:rFonts w:cs="Arial"/>
                <w:color w:val="000000" w:themeColor="text1"/>
                <w:szCs w:val="16"/>
              </w:rPr>
              <w:t>11.31%</w:t>
            </w:r>
          </w:p>
        </w:tc>
      </w:tr>
      <w:tr w:rsidR="00ED172B" w:rsidRPr="00ED172B" w14:paraId="30262144" w14:textId="77777777" w:rsidTr="00986B99">
        <w:trPr>
          <w:trHeight w:val="395"/>
        </w:trPr>
        <w:tc>
          <w:tcPr>
            <w:tcW w:w="3349" w:type="pct"/>
            <w:shd w:val="clear" w:color="auto" w:fill="auto"/>
            <w:vAlign w:val="center"/>
          </w:tcPr>
          <w:p w14:paraId="4F277A76" w14:textId="77777777" w:rsidR="0025243E" w:rsidRPr="00ED172B" w:rsidRDefault="0025243E" w:rsidP="0025243E">
            <w:pPr>
              <w:rPr>
                <w:color w:val="000000" w:themeColor="text1"/>
                <w:szCs w:val="16"/>
              </w:rPr>
            </w:pPr>
            <w:r w:rsidRPr="00ED172B">
              <w:rPr>
                <w:color w:val="000000" w:themeColor="text1"/>
                <w:szCs w:val="16"/>
              </w:rPr>
              <w:t>c. Infants and toddlers who improved functioning to a level nearer to same-aged peers but did not reach it</w:t>
            </w:r>
          </w:p>
        </w:tc>
        <w:tc>
          <w:tcPr>
            <w:tcW w:w="826" w:type="pct"/>
            <w:shd w:val="clear" w:color="auto" w:fill="auto"/>
            <w:vAlign w:val="center"/>
          </w:tcPr>
          <w:p w14:paraId="3891EFC3" w14:textId="0ECAF3AE" w:rsidR="0025243E" w:rsidRPr="00ED172B" w:rsidRDefault="00860830" w:rsidP="00186420">
            <w:pPr>
              <w:jc w:val="center"/>
              <w:rPr>
                <w:color w:val="000000" w:themeColor="text1"/>
                <w:szCs w:val="16"/>
              </w:rPr>
            </w:pPr>
            <w:r w:rsidRPr="00ED172B">
              <w:rPr>
                <w:rFonts w:cs="Arial"/>
                <w:color w:val="000000" w:themeColor="text1"/>
                <w:szCs w:val="16"/>
              </w:rPr>
              <w:t>1,131</w:t>
            </w:r>
          </w:p>
        </w:tc>
        <w:tc>
          <w:tcPr>
            <w:tcW w:w="825" w:type="pct"/>
            <w:shd w:val="clear" w:color="auto" w:fill="auto"/>
            <w:vAlign w:val="center"/>
          </w:tcPr>
          <w:p w14:paraId="51A7DF16" w14:textId="0DBF5071" w:rsidR="0025243E" w:rsidRPr="00ED172B" w:rsidRDefault="00860830" w:rsidP="00186420">
            <w:pPr>
              <w:jc w:val="center"/>
              <w:rPr>
                <w:color w:val="000000" w:themeColor="text1"/>
                <w:szCs w:val="16"/>
              </w:rPr>
            </w:pPr>
            <w:r w:rsidRPr="00ED172B">
              <w:rPr>
                <w:rFonts w:cs="Arial"/>
                <w:color w:val="000000" w:themeColor="text1"/>
                <w:szCs w:val="16"/>
              </w:rPr>
              <w:t>38.53%</w:t>
            </w:r>
          </w:p>
        </w:tc>
      </w:tr>
      <w:tr w:rsidR="00ED172B" w:rsidRPr="00ED172B" w14:paraId="29945F67" w14:textId="77777777" w:rsidTr="00986B99">
        <w:trPr>
          <w:trHeight w:val="361"/>
        </w:trPr>
        <w:tc>
          <w:tcPr>
            <w:tcW w:w="3349" w:type="pct"/>
            <w:shd w:val="clear" w:color="auto" w:fill="auto"/>
            <w:vAlign w:val="center"/>
          </w:tcPr>
          <w:p w14:paraId="41D6F21D" w14:textId="77777777" w:rsidR="0025243E" w:rsidRPr="00ED172B" w:rsidRDefault="0025243E" w:rsidP="0025243E">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6E131627" w14:textId="1AF309F1" w:rsidR="0025243E" w:rsidRPr="00ED172B" w:rsidRDefault="00860830" w:rsidP="00186420">
            <w:pPr>
              <w:jc w:val="center"/>
              <w:rPr>
                <w:rFonts w:cs="Arial"/>
                <w:color w:val="000000" w:themeColor="text1"/>
                <w:szCs w:val="16"/>
              </w:rPr>
            </w:pPr>
            <w:r w:rsidRPr="00ED172B">
              <w:rPr>
                <w:rFonts w:cs="Arial"/>
                <w:color w:val="000000" w:themeColor="text1"/>
                <w:szCs w:val="16"/>
              </w:rPr>
              <w:t>825</w:t>
            </w:r>
          </w:p>
        </w:tc>
        <w:tc>
          <w:tcPr>
            <w:tcW w:w="825" w:type="pct"/>
            <w:shd w:val="clear" w:color="auto" w:fill="auto"/>
            <w:vAlign w:val="center"/>
          </w:tcPr>
          <w:p w14:paraId="6D45CB47" w14:textId="7F7DA88F" w:rsidR="0025243E" w:rsidRPr="00ED172B" w:rsidRDefault="00860830" w:rsidP="00186420">
            <w:pPr>
              <w:jc w:val="center"/>
              <w:rPr>
                <w:rFonts w:cs="Arial"/>
                <w:color w:val="000000" w:themeColor="text1"/>
                <w:szCs w:val="16"/>
              </w:rPr>
            </w:pPr>
            <w:r w:rsidRPr="00ED172B">
              <w:rPr>
                <w:rFonts w:cs="Arial"/>
                <w:color w:val="000000" w:themeColor="text1"/>
                <w:szCs w:val="16"/>
              </w:rPr>
              <w:t>28.11%</w:t>
            </w:r>
          </w:p>
        </w:tc>
      </w:tr>
      <w:tr w:rsidR="00ED172B" w:rsidRPr="00ED172B" w14:paraId="52D1A85F" w14:textId="77777777" w:rsidTr="00986B99">
        <w:trPr>
          <w:trHeight w:val="361"/>
        </w:trPr>
        <w:tc>
          <w:tcPr>
            <w:tcW w:w="3349" w:type="pct"/>
            <w:shd w:val="clear" w:color="auto" w:fill="auto"/>
            <w:vAlign w:val="center"/>
          </w:tcPr>
          <w:p w14:paraId="3C1CA897" w14:textId="77777777" w:rsidR="0025243E" w:rsidRPr="00ED172B" w:rsidRDefault="0025243E" w:rsidP="0025243E">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327C8F35" w14:textId="78D13113" w:rsidR="0025243E" w:rsidRPr="00ED172B" w:rsidRDefault="00860830" w:rsidP="00186420">
            <w:pPr>
              <w:jc w:val="center"/>
              <w:rPr>
                <w:rFonts w:cs="Arial"/>
                <w:color w:val="000000" w:themeColor="text1"/>
                <w:szCs w:val="16"/>
              </w:rPr>
            </w:pPr>
            <w:r w:rsidRPr="00ED172B">
              <w:rPr>
                <w:rFonts w:cs="Arial"/>
                <w:color w:val="000000" w:themeColor="text1"/>
                <w:szCs w:val="16"/>
              </w:rPr>
              <w:t>624</w:t>
            </w:r>
          </w:p>
        </w:tc>
        <w:tc>
          <w:tcPr>
            <w:tcW w:w="825" w:type="pct"/>
            <w:shd w:val="clear" w:color="auto" w:fill="auto"/>
            <w:vAlign w:val="center"/>
          </w:tcPr>
          <w:p w14:paraId="6F8EC2BC" w14:textId="12B867EB" w:rsidR="0025243E" w:rsidRPr="00ED172B" w:rsidRDefault="00860830" w:rsidP="00186420">
            <w:pPr>
              <w:jc w:val="center"/>
              <w:rPr>
                <w:rFonts w:cs="Arial"/>
                <w:color w:val="000000" w:themeColor="text1"/>
                <w:szCs w:val="16"/>
              </w:rPr>
            </w:pPr>
            <w:r w:rsidRPr="00ED172B">
              <w:rPr>
                <w:rFonts w:cs="Arial"/>
                <w:color w:val="000000" w:themeColor="text1"/>
                <w:szCs w:val="16"/>
              </w:rPr>
              <w:t>21.26%</w:t>
            </w:r>
          </w:p>
        </w:tc>
      </w:tr>
    </w:tbl>
    <w:p w14:paraId="50352AF0"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6"/>
      </w:tblPr>
      <w:tblGrid>
        <w:gridCol w:w="2425"/>
        <w:gridCol w:w="1170"/>
        <w:gridCol w:w="1260"/>
        <w:gridCol w:w="1350"/>
        <w:gridCol w:w="1350"/>
        <w:gridCol w:w="1260"/>
        <w:gridCol w:w="990"/>
        <w:gridCol w:w="985"/>
      </w:tblGrid>
      <w:tr w:rsidR="00ED172B" w:rsidRPr="00ED172B" w14:paraId="05AFC67E" w14:textId="77777777" w:rsidTr="00986B99">
        <w:trPr>
          <w:tblHeader/>
        </w:trPr>
        <w:tc>
          <w:tcPr>
            <w:tcW w:w="2425" w:type="dxa"/>
            <w:shd w:val="clear" w:color="auto" w:fill="auto"/>
            <w:vAlign w:val="bottom"/>
          </w:tcPr>
          <w:p w14:paraId="22BD1EA4" w14:textId="0F370FDF" w:rsidR="00037032" w:rsidRPr="00A40EE1" w:rsidRDefault="008320B5" w:rsidP="00B83404">
            <w:pPr>
              <w:rPr>
                <w:b/>
                <w:bCs/>
                <w:color w:val="000000" w:themeColor="text1"/>
              </w:rPr>
            </w:pPr>
            <w:r>
              <w:rPr>
                <w:b/>
                <w:bCs/>
                <w:color w:val="000000" w:themeColor="text1"/>
              </w:rPr>
              <w:lastRenderedPageBreak/>
              <w:t>Outcome C</w:t>
            </w:r>
          </w:p>
        </w:tc>
        <w:tc>
          <w:tcPr>
            <w:tcW w:w="1170" w:type="dxa"/>
            <w:shd w:val="clear" w:color="auto" w:fill="auto"/>
            <w:vAlign w:val="bottom"/>
          </w:tcPr>
          <w:p w14:paraId="4C4D512B"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Numerator</w:t>
            </w:r>
          </w:p>
        </w:tc>
        <w:tc>
          <w:tcPr>
            <w:tcW w:w="1260" w:type="dxa"/>
            <w:shd w:val="clear" w:color="auto" w:fill="auto"/>
            <w:vAlign w:val="bottom"/>
          </w:tcPr>
          <w:p w14:paraId="4D2FC56C"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Denominator</w:t>
            </w:r>
          </w:p>
        </w:tc>
        <w:tc>
          <w:tcPr>
            <w:tcW w:w="1350" w:type="dxa"/>
            <w:shd w:val="clear" w:color="auto" w:fill="auto"/>
            <w:vAlign w:val="bottom"/>
          </w:tcPr>
          <w:p w14:paraId="3CB5A22B" w14:textId="7861A80C" w:rsidR="00037032" w:rsidRPr="00ED172B" w:rsidRDefault="00CD74B5" w:rsidP="00037032">
            <w:pPr>
              <w:keepNext/>
              <w:jc w:val="center"/>
              <w:rPr>
                <w:rFonts w:cs="Arial"/>
                <w:b/>
                <w:color w:val="000000" w:themeColor="text1"/>
                <w:szCs w:val="16"/>
              </w:rPr>
            </w:pPr>
            <w:r>
              <w:rPr>
                <w:rFonts w:cs="Arial"/>
                <w:b/>
                <w:color w:val="000000" w:themeColor="text1"/>
                <w:szCs w:val="16"/>
              </w:rPr>
              <w:t>FFY 2022 Data</w:t>
            </w:r>
          </w:p>
        </w:tc>
        <w:tc>
          <w:tcPr>
            <w:tcW w:w="1350" w:type="dxa"/>
            <w:shd w:val="clear" w:color="auto" w:fill="auto"/>
            <w:vAlign w:val="bottom"/>
          </w:tcPr>
          <w:p w14:paraId="1F1B0E9C" w14:textId="5578D7C8" w:rsidR="00037032" w:rsidRPr="00ED172B" w:rsidRDefault="00F22D09" w:rsidP="00037032">
            <w:pPr>
              <w:keepNext/>
              <w:jc w:val="center"/>
              <w:rPr>
                <w:rFonts w:cs="Arial"/>
                <w:b/>
                <w:color w:val="000000" w:themeColor="text1"/>
                <w:szCs w:val="16"/>
              </w:rPr>
            </w:pPr>
            <w:r>
              <w:rPr>
                <w:rFonts w:cs="Arial"/>
                <w:b/>
                <w:color w:val="000000" w:themeColor="text1"/>
                <w:szCs w:val="16"/>
              </w:rPr>
              <w:t>FFY 2023 Target</w:t>
            </w:r>
          </w:p>
        </w:tc>
        <w:tc>
          <w:tcPr>
            <w:tcW w:w="1260" w:type="dxa"/>
            <w:shd w:val="clear" w:color="auto" w:fill="auto"/>
            <w:vAlign w:val="bottom"/>
          </w:tcPr>
          <w:p w14:paraId="6C0C38FB" w14:textId="17FB0493" w:rsidR="00037032" w:rsidRPr="00ED172B" w:rsidRDefault="00F22D09" w:rsidP="00037032">
            <w:pPr>
              <w:keepNext/>
              <w:jc w:val="center"/>
              <w:rPr>
                <w:rFonts w:cs="Arial"/>
                <w:b/>
                <w:color w:val="000000" w:themeColor="text1"/>
                <w:szCs w:val="16"/>
              </w:rPr>
            </w:pPr>
            <w:r>
              <w:rPr>
                <w:rFonts w:cs="Arial"/>
                <w:b/>
                <w:color w:val="000000" w:themeColor="text1"/>
                <w:szCs w:val="16"/>
              </w:rPr>
              <w:t>FFY 2023 Data</w:t>
            </w:r>
          </w:p>
        </w:tc>
        <w:tc>
          <w:tcPr>
            <w:tcW w:w="990" w:type="dxa"/>
            <w:shd w:val="clear" w:color="auto" w:fill="auto"/>
            <w:vAlign w:val="bottom"/>
          </w:tcPr>
          <w:p w14:paraId="2BF2EBDF"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Status</w:t>
            </w:r>
          </w:p>
        </w:tc>
        <w:tc>
          <w:tcPr>
            <w:tcW w:w="985" w:type="dxa"/>
            <w:shd w:val="clear" w:color="auto" w:fill="auto"/>
            <w:vAlign w:val="bottom"/>
          </w:tcPr>
          <w:p w14:paraId="214F9910"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A7D7FC" w14:textId="77777777" w:rsidTr="00986B99">
        <w:tc>
          <w:tcPr>
            <w:tcW w:w="2425" w:type="dxa"/>
            <w:shd w:val="clear" w:color="auto" w:fill="auto"/>
          </w:tcPr>
          <w:p w14:paraId="1E7EA1A9" w14:textId="54DAFCC3" w:rsidR="008320B5" w:rsidRPr="00ED172B" w:rsidRDefault="0025243E" w:rsidP="0025243E">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1170" w:type="dxa"/>
            <w:shd w:val="clear" w:color="auto" w:fill="auto"/>
            <w:vAlign w:val="center"/>
          </w:tcPr>
          <w:p w14:paraId="7B0CA489" w14:textId="0E345F1D"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1,956</w:t>
            </w:r>
          </w:p>
        </w:tc>
        <w:tc>
          <w:tcPr>
            <w:tcW w:w="1260" w:type="dxa"/>
            <w:shd w:val="clear" w:color="auto" w:fill="auto"/>
            <w:vAlign w:val="center"/>
          </w:tcPr>
          <w:p w14:paraId="2F111B4D" w14:textId="2C47E0BE"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2,311</w:t>
            </w:r>
          </w:p>
        </w:tc>
        <w:tc>
          <w:tcPr>
            <w:tcW w:w="1350" w:type="dxa"/>
            <w:shd w:val="clear" w:color="auto" w:fill="auto"/>
            <w:vAlign w:val="center"/>
          </w:tcPr>
          <w:p w14:paraId="3E511271" w14:textId="0F6822C1" w:rsidR="0025243E" w:rsidRPr="00ED172B" w:rsidRDefault="00860830" w:rsidP="0025243E">
            <w:pPr>
              <w:jc w:val="center"/>
              <w:rPr>
                <w:rFonts w:cs="Arial"/>
                <w:color w:val="000000" w:themeColor="text1"/>
                <w:szCs w:val="16"/>
              </w:rPr>
            </w:pPr>
            <w:r w:rsidRPr="00ED172B">
              <w:rPr>
                <w:rFonts w:cs="Arial"/>
                <w:color w:val="000000" w:themeColor="text1"/>
                <w:szCs w:val="16"/>
              </w:rPr>
              <w:t>85.45%</w:t>
            </w:r>
          </w:p>
        </w:tc>
        <w:tc>
          <w:tcPr>
            <w:tcW w:w="1350" w:type="dxa"/>
            <w:shd w:val="clear" w:color="auto" w:fill="auto"/>
            <w:vAlign w:val="center"/>
          </w:tcPr>
          <w:p w14:paraId="473D5F1A" w14:textId="175ED4B5" w:rsidR="0025243E" w:rsidRPr="00ED172B" w:rsidRDefault="005C14C2" w:rsidP="00027F39">
            <w:pPr>
              <w:jc w:val="center"/>
              <w:rPr>
                <w:color w:val="000000" w:themeColor="text1"/>
              </w:rPr>
            </w:pPr>
            <w:r w:rsidRPr="00ED172B">
              <w:rPr>
                <w:color w:val="000000" w:themeColor="text1"/>
              </w:rPr>
              <w:t>87.00%</w:t>
            </w:r>
          </w:p>
        </w:tc>
        <w:tc>
          <w:tcPr>
            <w:tcW w:w="1260" w:type="dxa"/>
            <w:shd w:val="clear" w:color="auto" w:fill="auto"/>
            <w:vAlign w:val="center"/>
          </w:tcPr>
          <w:p w14:paraId="1876516C" w14:textId="288911F8" w:rsidR="0025243E" w:rsidRPr="00ED172B" w:rsidRDefault="00860830" w:rsidP="0025243E">
            <w:pPr>
              <w:jc w:val="center"/>
              <w:rPr>
                <w:rFonts w:cs="Arial"/>
                <w:color w:val="000000" w:themeColor="text1"/>
                <w:szCs w:val="16"/>
              </w:rPr>
            </w:pPr>
            <w:r w:rsidRPr="00ED172B">
              <w:rPr>
                <w:rFonts w:cs="Arial"/>
                <w:color w:val="000000" w:themeColor="text1"/>
                <w:szCs w:val="16"/>
              </w:rPr>
              <w:t>84.64%</w:t>
            </w:r>
          </w:p>
        </w:tc>
        <w:tc>
          <w:tcPr>
            <w:tcW w:w="990" w:type="dxa"/>
            <w:shd w:val="clear" w:color="auto" w:fill="auto"/>
            <w:vAlign w:val="center"/>
          </w:tcPr>
          <w:p w14:paraId="0E1E6212" w14:textId="189804F0" w:rsidR="0025243E" w:rsidRPr="00ED172B" w:rsidRDefault="00860830" w:rsidP="0025243E">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14:paraId="3EA50B1B" w14:textId="3AB2B931"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r w:rsidR="00ED172B" w:rsidRPr="00ED172B" w14:paraId="357A4CC7" w14:textId="77777777" w:rsidTr="00986B99">
        <w:tc>
          <w:tcPr>
            <w:tcW w:w="2425" w:type="dxa"/>
            <w:shd w:val="clear" w:color="auto" w:fill="auto"/>
          </w:tcPr>
          <w:p w14:paraId="12D3B9B1" w14:textId="701FB8C0" w:rsidR="008320B5" w:rsidRPr="00ED172B" w:rsidRDefault="0025243E" w:rsidP="0025243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1170" w:type="dxa"/>
            <w:shd w:val="clear" w:color="auto" w:fill="auto"/>
            <w:vAlign w:val="center"/>
          </w:tcPr>
          <w:p w14:paraId="5F877093" w14:textId="7D67D8C0"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1,449</w:t>
            </w:r>
          </w:p>
        </w:tc>
        <w:tc>
          <w:tcPr>
            <w:tcW w:w="1260" w:type="dxa"/>
            <w:shd w:val="clear" w:color="auto" w:fill="auto"/>
            <w:vAlign w:val="center"/>
          </w:tcPr>
          <w:p w14:paraId="69F696DC" w14:textId="766B8213"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2,935</w:t>
            </w:r>
          </w:p>
        </w:tc>
        <w:tc>
          <w:tcPr>
            <w:tcW w:w="1350" w:type="dxa"/>
            <w:shd w:val="clear" w:color="auto" w:fill="auto"/>
            <w:vAlign w:val="center"/>
          </w:tcPr>
          <w:p w14:paraId="34065F7F" w14:textId="1E2D0A02" w:rsidR="0025243E" w:rsidRPr="00ED172B" w:rsidRDefault="00860830" w:rsidP="0025243E">
            <w:pPr>
              <w:jc w:val="center"/>
              <w:rPr>
                <w:rFonts w:cs="Arial"/>
                <w:color w:val="000000" w:themeColor="text1"/>
                <w:szCs w:val="16"/>
              </w:rPr>
            </w:pPr>
            <w:r w:rsidRPr="00ED172B">
              <w:rPr>
                <w:rFonts w:cs="Arial"/>
                <w:color w:val="000000" w:themeColor="text1"/>
                <w:szCs w:val="16"/>
              </w:rPr>
              <w:t>54.72%</w:t>
            </w:r>
          </w:p>
        </w:tc>
        <w:tc>
          <w:tcPr>
            <w:tcW w:w="1350" w:type="dxa"/>
            <w:shd w:val="clear" w:color="auto" w:fill="auto"/>
            <w:vAlign w:val="center"/>
          </w:tcPr>
          <w:p w14:paraId="738A625A" w14:textId="1B3A2509" w:rsidR="0025243E" w:rsidRPr="00ED172B" w:rsidRDefault="005C14C2" w:rsidP="005C14C2">
            <w:pPr>
              <w:jc w:val="center"/>
              <w:rPr>
                <w:color w:val="000000" w:themeColor="text1"/>
              </w:rPr>
            </w:pPr>
            <w:r w:rsidRPr="00ED172B">
              <w:rPr>
                <w:color w:val="000000" w:themeColor="text1"/>
              </w:rPr>
              <w:t>59.00%</w:t>
            </w:r>
          </w:p>
        </w:tc>
        <w:tc>
          <w:tcPr>
            <w:tcW w:w="1260" w:type="dxa"/>
            <w:shd w:val="clear" w:color="auto" w:fill="auto"/>
            <w:vAlign w:val="center"/>
          </w:tcPr>
          <w:p w14:paraId="1EEC0105" w14:textId="3FC19FC7" w:rsidR="0025243E" w:rsidRPr="00ED172B" w:rsidRDefault="00860830" w:rsidP="0025243E">
            <w:pPr>
              <w:jc w:val="center"/>
              <w:rPr>
                <w:rFonts w:cs="Arial"/>
                <w:color w:val="000000" w:themeColor="text1"/>
                <w:szCs w:val="16"/>
              </w:rPr>
            </w:pPr>
            <w:r w:rsidRPr="00ED172B">
              <w:rPr>
                <w:rFonts w:cs="Arial"/>
                <w:color w:val="000000" w:themeColor="text1"/>
                <w:szCs w:val="16"/>
              </w:rPr>
              <w:t>49.37%</w:t>
            </w:r>
          </w:p>
        </w:tc>
        <w:tc>
          <w:tcPr>
            <w:tcW w:w="990" w:type="dxa"/>
            <w:shd w:val="clear" w:color="auto" w:fill="auto"/>
            <w:vAlign w:val="center"/>
          </w:tcPr>
          <w:p w14:paraId="5EEFED10" w14:textId="71805D26" w:rsidR="0025243E" w:rsidRPr="00ED172B" w:rsidRDefault="00860830" w:rsidP="0025243E">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14:paraId="35666D42" w14:textId="7D42BE23" w:rsidR="0025243E" w:rsidRPr="00ED172B" w:rsidRDefault="00860830" w:rsidP="0025243E">
            <w:pPr>
              <w:jc w:val="center"/>
              <w:rPr>
                <w:rFonts w:cs="Arial"/>
                <w:color w:val="000000" w:themeColor="text1"/>
                <w:szCs w:val="16"/>
              </w:rPr>
            </w:pPr>
            <w:r w:rsidRPr="00ED172B">
              <w:rPr>
                <w:rFonts w:cs="Arial"/>
                <w:color w:val="000000" w:themeColor="text1"/>
                <w:szCs w:val="16"/>
              </w:rPr>
              <w:t>Slippage</w:t>
            </w:r>
          </w:p>
        </w:tc>
      </w:tr>
    </w:tbl>
    <w:p w14:paraId="5395C5BA" w14:textId="74DACA6C" w:rsidR="0025243E" w:rsidRPr="00ED172B" w:rsidRDefault="0025243E" w:rsidP="0025243E">
      <w:pPr>
        <w:rPr>
          <w:rFonts w:cs="Arial"/>
          <w:b/>
          <w:i/>
          <w:color w:val="000000" w:themeColor="text1"/>
          <w:szCs w:val="16"/>
        </w:rPr>
      </w:pPr>
      <w:r w:rsidRPr="00ED172B">
        <w:rPr>
          <w:rFonts w:cs="Arial"/>
          <w:b/>
          <w:color w:val="000000" w:themeColor="text1"/>
          <w:szCs w:val="16"/>
        </w:rPr>
        <w:t xml:space="preserve">Provide reasons for C2 slippage, if applicable </w:t>
      </w:r>
    </w:p>
    <w:p w14:paraId="33CF58F2" w14:textId="3AEFB1DD" w:rsidR="0025243E" w:rsidRDefault="005C14C2" w:rsidP="005C14C2">
      <w:pPr>
        <w:rPr>
          <w:color w:val="000000" w:themeColor="text1"/>
        </w:rPr>
      </w:pPr>
      <w:r w:rsidRPr="00ED172B">
        <w:rPr>
          <w:color w:val="000000" w:themeColor="text1"/>
        </w:rPr>
        <w:t>Louisiana did not meet targets for either Summary Statement. There was a slippage of 5.35 percentage points for Summary Statement C2. The pandemic continued to have impact of the number of children making substantial progress due to children beginning services later, therefore in the program for less time and some families remaining hesitant to resume in-person services.</w:t>
      </w:r>
    </w:p>
    <w:p w14:paraId="0ADB8903" w14:textId="77777777" w:rsidR="000E5D05" w:rsidRPr="00ED172B" w:rsidRDefault="000E5D05" w:rsidP="00986B99">
      <w:pPr>
        <w:rPr>
          <w:rFonts w:cs="Arial"/>
          <w:color w:val="000000" w:themeColor="text1"/>
          <w:szCs w:val="16"/>
        </w:rPr>
      </w:pPr>
    </w:p>
    <w:p w14:paraId="7E6A154B" w14:textId="00A16E86" w:rsidR="000E5D05" w:rsidRPr="000E5D05" w:rsidRDefault="000E5D05" w:rsidP="000E5D05">
      <w:pPr>
        <w:rPr>
          <w:b/>
          <w:color w:val="000000" w:themeColor="text1"/>
        </w:rPr>
      </w:pPr>
      <w:r w:rsidRPr="000E5D05" w:rsidDel="00F32724">
        <w:rPr>
          <w:b/>
          <w:color w:val="000000" w:themeColor="text1"/>
        </w:rPr>
        <w:t>FFY 2023 SPP/APR Data</w:t>
      </w:r>
    </w:p>
    <w:p w14:paraId="46BFE185" w14:textId="77777777" w:rsidR="000E5D05" w:rsidRPr="000E5D05" w:rsidRDefault="000E5D05" w:rsidP="000E5D05">
      <w:pPr>
        <w:rPr>
          <w:rFonts w:cs="Arial"/>
          <w:color w:val="000000" w:themeColor="text1"/>
          <w:szCs w:val="16"/>
        </w:rPr>
      </w:pPr>
      <w:r w:rsidRPr="000E5D05">
        <w:rPr>
          <w:rFonts w:cs="Arial"/>
          <w:b/>
          <w:color w:val="000000" w:themeColor="text1"/>
          <w:szCs w:val="16"/>
        </w:rPr>
        <w:t>The number of infants and toddlers who did not receive early intervention services for at least six months before exiting the Part C program</w:t>
      </w:r>
      <w:r w:rsidRPr="000E5D05">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9175"/>
        <w:gridCol w:w="1615"/>
      </w:tblGrid>
      <w:tr w:rsidR="000E5D05" w:rsidRPr="000E5D05" w14:paraId="61B84428" w14:textId="77777777">
        <w:trPr>
          <w:tblHeader/>
        </w:trPr>
        <w:tc>
          <w:tcPr>
            <w:tcW w:w="9175" w:type="dxa"/>
          </w:tcPr>
          <w:p w14:paraId="4A3B8E26" w14:textId="77777777" w:rsidR="000E5D05" w:rsidRPr="000E5D05" w:rsidRDefault="000E5D05">
            <w:pPr>
              <w:rPr>
                <w:rFonts w:cs="Arial"/>
                <w:b/>
                <w:bCs/>
                <w:color w:val="000000" w:themeColor="text1"/>
                <w:szCs w:val="16"/>
              </w:rPr>
            </w:pPr>
            <w:r w:rsidRPr="000E5D05">
              <w:rPr>
                <w:rFonts w:cs="Arial"/>
                <w:b/>
                <w:bCs/>
                <w:color w:val="000000" w:themeColor="text1"/>
                <w:szCs w:val="16"/>
              </w:rPr>
              <w:t>Question</w:t>
            </w:r>
          </w:p>
        </w:tc>
        <w:tc>
          <w:tcPr>
            <w:tcW w:w="1615" w:type="dxa"/>
            <w:shd w:val="clear" w:color="auto" w:fill="auto"/>
          </w:tcPr>
          <w:p w14:paraId="69C911AF" w14:textId="77777777" w:rsidR="000E5D05" w:rsidRPr="000E5D05" w:rsidRDefault="000E5D05">
            <w:pPr>
              <w:jc w:val="center"/>
              <w:rPr>
                <w:rFonts w:cs="Arial"/>
                <w:b/>
                <w:bCs/>
                <w:color w:val="000000" w:themeColor="text1"/>
                <w:szCs w:val="16"/>
              </w:rPr>
            </w:pPr>
            <w:r w:rsidRPr="000E5D05">
              <w:rPr>
                <w:rFonts w:cs="Arial"/>
                <w:b/>
                <w:bCs/>
                <w:color w:val="000000" w:themeColor="text1"/>
                <w:szCs w:val="16"/>
              </w:rPr>
              <w:t>Number</w:t>
            </w:r>
          </w:p>
        </w:tc>
      </w:tr>
      <w:tr w:rsidR="000E5D05" w:rsidRPr="000E5D05" w14:paraId="655EF7E2" w14:textId="77777777">
        <w:tc>
          <w:tcPr>
            <w:tcW w:w="9175" w:type="dxa"/>
          </w:tcPr>
          <w:p w14:paraId="751BADB6" w14:textId="77777777" w:rsidR="000E5D05" w:rsidRPr="000E5D05" w:rsidRDefault="000E5D05">
            <w:pPr>
              <w:rPr>
                <w:rFonts w:cs="Arial"/>
                <w:color w:val="000000" w:themeColor="text1"/>
                <w:szCs w:val="16"/>
              </w:rPr>
            </w:pPr>
            <w:r w:rsidRPr="000E5D05">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41E410A2" w14:textId="77777777" w:rsidR="000E5D05" w:rsidRPr="000E5D05" w:rsidRDefault="000E5D05">
            <w:pPr>
              <w:jc w:val="center"/>
              <w:rPr>
                <w:rFonts w:cs="Arial"/>
                <w:color w:val="000000" w:themeColor="text1"/>
                <w:szCs w:val="16"/>
              </w:rPr>
            </w:pPr>
            <w:r w:rsidRPr="000E5D05">
              <w:rPr>
                <w:rFonts w:cs="Arial"/>
                <w:color w:val="000000" w:themeColor="text1"/>
                <w:szCs w:val="16"/>
              </w:rPr>
              <w:t>5,742</w:t>
            </w:r>
          </w:p>
        </w:tc>
      </w:tr>
      <w:tr w:rsidR="000E5D05" w:rsidRPr="000E5D05" w14:paraId="67934A85" w14:textId="77777777">
        <w:tc>
          <w:tcPr>
            <w:tcW w:w="9175" w:type="dxa"/>
          </w:tcPr>
          <w:p w14:paraId="07587B90" w14:textId="77777777" w:rsidR="000E5D05" w:rsidRPr="000E5D05" w:rsidRDefault="000E5D05">
            <w:pPr>
              <w:rPr>
                <w:rFonts w:cs="Arial"/>
                <w:color w:val="000000" w:themeColor="text1"/>
                <w:szCs w:val="16"/>
              </w:rPr>
            </w:pPr>
            <w:r w:rsidRPr="000E5D05">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6888EA59" w14:textId="77777777" w:rsidR="000E5D05" w:rsidRPr="000E5D05" w:rsidRDefault="000E5D05">
            <w:pPr>
              <w:jc w:val="center"/>
              <w:rPr>
                <w:rFonts w:cs="Arial"/>
                <w:color w:val="000000" w:themeColor="text1"/>
                <w:szCs w:val="16"/>
              </w:rPr>
            </w:pPr>
            <w:r w:rsidRPr="000E5D05">
              <w:rPr>
                <w:rFonts w:cs="Arial"/>
                <w:color w:val="000000" w:themeColor="text1"/>
                <w:szCs w:val="16"/>
              </w:rPr>
              <w:t>1,249</w:t>
            </w:r>
          </w:p>
        </w:tc>
      </w:tr>
      <w:tr w:rsidR="000E5D05" w:rsidRPr="00ED172B" w14:paraId="7565685B" w14:textId="77777777">
        <w:tc>
          <w:tcPr>
            <w:tcW w:w="9175" w:type="dxa"/>
          </w:tcPr>
          <w:p w14:paraId="189EC9A1" w14:textId="77777777" w:rsidR="000E5D05" w:rsidRPr="000E5D05" w:rsidRDefault="000E5D05">
            <w:pPr>
              <w:rPr>
                <w:rFonts w:cs="Arial"/>
                <w:color w:val="000000" w:themeColor="text1"/>
                <w:szCs w:val="16"/>
              </w:rPr>
            </w:pPr>
            <w:r w:rsidRPr="000E5D05">
              <w:rPr>
                <w:rFonts w:cs="Arial"/>
                <w:bCs/>
                <w:color w:val="000000" w:themeColor="text1"/>
                <w:szCs w:val="16"/>
              </w:rPr>
              <w:t>Number of infants and toddlers with IFSPs assessed</w:t>
            </w:r>
          </w:p>
        </w:tc>
        <w:tc>
          <w:tcPr>
            <w:tcW w:w="1615" w:type="dxa"/>
          </w:tcPr>
          <w:p w14:paraId="1EA9DBE3" w14:textId="77777777" w:rsidR="000E5D05" w:rsidRPr="006B424E" w:rsidRDefault="000E5D05">
            <w:pPr>
              <w:rPr>
                <w:b/>
                <w:color w:val="000000" w:themeColor="text1"/>
              </w:rPr>
            </w:pPr>
            <w:r w:rsidRPr="000E5D05">
              <w:rPr>
                <w:color w:val="000000" w:themeColor="text1"/>
              </w:rPr>
              <w:t>2,935</w:t>
            </w:r>
          </w:p>
        </w:tc>
      </w:tr>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4050E0">
            <w:pPr>
              <w:rPr>
                <w:rFonts w:cs="Arial"/>
                <w:color w:val="000000" w:themeColor="text1"/>
                <w:szCs w:val="16"/>
              </w:rPr>
            </w:pPr>
            <w:r w:rsidRPr="00ED172B">
              <w:rPr>
                <w:rFonts w:cs="Arial"/>
                <w:color w:val="000000" w:themeColor="text1"/>
                <w:szCs w:val="16"/>
              </w:rPr>
              <w:t>NO</w:t>
            </w:r>
          </w:p>
        </w:tc>
      </w:tr>
    </w:tbl>
    <w:p w14:paraId="047486DE" w14:textId="2F12AD13"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(COS) process? (yes/no)</w:t>
      </w:r>
    </w:p>
    <w:p w14:paraId="44D4D8D3" w14:textId="4AE06461" w:rsidR="002451A6" w:rsidRDefault="005C14C2" w:rsidP="005C14C2">
      <w:pPr>
        <w:rPr>
          <w:color w:val="000000" w:themeColor="text1"/>
        </w:rPr>
      </w:pPr>
      <w:r w:rsidRPr="00ED172B">
        <w:rPr>
          <w:color w:val="000000" w:themeColor="text1"/>
        </w:rPr>
        <w:t>NO</w:t>
      </w:r>
    </w:p>
    <w:p w14:paraId="5721B8E5" w14:textId="796E7895" w:rsidR="00F20E73" w:rsidRPr="00ED172B" w:rsidRDefault="00F20E73" w:rsidP="00F20E73">
      <w:pPr>
        <w:rPr>
          <w:rFonts w:cs="Arial"/>
          <w:b/>
          <w:color w:val="000000" w:themeColor="text1"/>
          <w:szCs w:val="16"/>
        </w:rPr>
      </w:pPr>
      <w:r w:rsidRPr="00ED172B">
        <w:rPr>
          <w:b/>
          <w:color w:val="000000" w:themeColor="text1"/>
        </w:rPr>
        <w:t>Provide the criteria for defining “comparable to same-aged peers.”</w:t>
      </w:r>
    </w:p>
    <w:p w14:paraId="43BEFADD" w14:textId="7C17EB70" w:rsidR="00F20E73" w:rsidRDefault="00860830" w:rsidP="00F20E73">
      <w:pPr>
        <w:rPr>
          <w:rFonts w:cs="Arial"/>
          <w:color w:val="000000" w:themeColor="text1"/>
          <w:szCs w:val="16"/>
        </w:rPr>
      </w:pPr>
      <w:r w:rsidRPr="00ED172B">
        <w:rPr>
          <w:rFonts w:cs="Arial"/>
          <w:color w:val="000000" w:themeColor="text1"/>
          <w:szCs w:val="16"/>
        </w:rPr>
        <w:t xml:space="preserve">The measurement system was installed in March 2017. The measurement process for defining comparable to same-aged peers and placing child-outcome results in progress categories a-e using all subdomain scores in all BDI2 domain areas: </w:t>
      </w:r>
      <w:r w:rsidRPr="00ED172B">
        <w:rPr>
          <w:rFonts w:cs="Arial"/>
          <w:color w:val="000000" w:themeColor="text1"/>
          <w:szCs w:val="16"/>
        </w:rPr>
        <w:br/>
        <w:t>Category a--The exit DQ is less than 80 and all exit raw subdomain scores are less than or equal to entry raw subdomain scores</w:t>
      </w:r>
      <w:r w:rsidRPr="00ED172B">
        <w:rPr>
          <w:rFonts w:cs="Arial"/>
          <w:color w:val="000000" w:themeColor="text1"/>
          <w:szCs w:val="16"/>
        </w:rPr>
        <w:br/>
        <w:t xml:space="preserve">Category b--The exit DQ is less than 80 and less than or equal to entry DQ and one or more exit raw subdomain scores are greater than the entry raw subdomain score </w:t>
      </w:r>
      <w:r w:rsidRPr="00ED172B">
        <w:rPr>
          <w:rFonts w:cs="Arial"/>
          <w:color w:val="000000" w:themeColor="text1"/>
          <w:szCs w:val="16"/>
        </w:rPr>
        <w:br/>
        <w:t xml:space="preserve">Category c--The exit DQ is less than 80 and greater than entry DQ and one or more exit raw subdomain scores are greater than the entry raw subdomain score </w:t>
      </w:r>
      <w:r w:rsidRPr="00ED172B">
        <w:rPr>
          <w:rFonts w:cs="Arial"/>
          <w:color w:val="000000" w:themeColor="text1"/>
          <w:szCs w:val="16"/>
        </w:rPr>
        <w:br/>
        <w:t xml:space="preserve">Category d--The entry DQ is less than 80 and the exit DQ is greater or equal to 80 </w:t>
      </w:r>
      <w:r w:rsidRPr="00ED172B">
        <w:rPr>
          <w:rFonts w:cs="Arial"/>
          <w:color w:val="000000" w:themeColor="text1"/>
          <w:szCs w:val="16"/>
        </w:rPr>
        <w:br/>
        <w:t>Category e--The entry and exit DQs are greater than or equal to 80.</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The Battelle Developmental Inventory, 2nd edition (BDI-2) is the statewide tool used for eligibility determination and outcome reporting. During the eligibility determination process, the BDI-2 is administered and results are entered into EIDS. Subsequently at annual eligibility determination and/or exit, the BDI-2 is re-administered and the new results entered. The data system uses the formula provided in the previous section to calculate results for each child who has been in the system for at least 6 months. Louisiana received a data completeness score of 1 on the results matrix due to the percentage of exit scores available compared to national data. Improvement activities are underway to increase the number of entry to exit scores available.</w:t>
      </w:r>
      <w:r w:rsidRPr="00ED172B">
        <w:rPr>
          <w:rFonts w:cs="Arial"/>
          <w:color w:val="000000" w:themeColor="text1"/>
          <w:szCs w:val="16"/>
        </w:rPr>
        <w:br/>
      </w:r>
      <w:r w:rsidRPr="00ED172B">
        <w:rPr>
          <w:rFonts w:cs="Arial"/>
          <w:color w:val="000000" w:themeColor="text1"/>
          <w:szCs w:val="16"/>
        </w:rPr>
        <w:br/>
        <w:t xml:space="preserve">Complete entry and exit scores were collected on 2,965 children for the 2023-24 reporting period using the measurement method. This number represents a 1.12% increase in the number of exit evaluations available for the period compared to last year.  EarlySteps Regional Coordinators provides improvement activities to the SPOE and FSC agencies on the importance of obtaining exit scores. </w:t>
      </w:r>
    </w:p>
    <w:p w14:paraId="7C7F4032" w14:textId="3B8DC8B2" w:rsidR="003A3693" w:rsidRPr="00ED172B" w:rsidRDefault="003A3693" w:rsidP="006935F4">
      <w:pPr>
        <w:rPr>
          <w:b/>
          <w:color w:val="000000" w:themeColor="text1"/>
        </w:rPr>
      </w:pPr>
      <w:bookmarkStart w:id="16" w:name="_Toc382082362"/>
      <w:bookmarkStart w:id="17" w:name="_Toc392159270"/>
      <w:r w:rsidRPr="00ED172B">
        <w:rPr>
          <w:b/>
          <w:color w:val="000000" w:themeColor="text1"/>
        </w:rPr>
        <w:t>Provide additional information about this indicator (optional).</w:t>
      </w:r>
    </w:p>
    <w:p w14:paraId="38CEA5CA" w14:textId="6B633C85" w:rsidR="003A3693" w:rsidRPr="00ED172B" w:rsidRDefault="003A3693" w:rsidP="003A3693">
      <w:pPr>
        <w:rPr>
          <w:rFonts w:cs="Arial"/>
          <w:color w:val="000000" w:themeColor="text1"/>
          <w:szCs w:val="16"/>
        </w:rPr>
      </w:pP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lastRenderedPageBreak/>
        <w:t xml:space="preserve">3 - </w:t>
      </w:r>
      <w:r w:rsidR="00DC0682" w:rsidRPr="00A40EE1">
        <w:t>OSEP Response</w:t>
      </w:r>
    </w:p>
    <w:p w14:paraId="4DD1F618" w14:textId="23270F7D" w:rsidR="00DC0682" w:rsidRPr="00ED172B" w:rsidRDefault="00DC0682" w:rsidP="005C14C2">
      <w:pPr>
        <w:rPr>
          <w:color w:val="000000" w:themeColor="text1"/>
        </w:rPr>
      </w:pP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DC0682" w:rsidP="005C14C2">
      <w:pPr>
        <w:rPr>
          <w:color w:val="000000" w:themeColor="text1"/>
        </w:rPr>
      </w:pP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6"/>
      <w:bookmarkEnd w:id="17"/>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8"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19" w:name="_Toc392159272"/>
      <w:bookmarkEnd w:id="18"/>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1964A814" w14:textId="77777777" w:rsidR="00AD10DA" w:rsidRDefault="00A9742C" w:rsidP="00AD10DA">
      <w:pPr>
        <w:rPr>
          <w:szCs w:val="16"/>
        </w:rPr>
      </w:pPr>
      <w:r w:rsidRPr="00ED172B">
        <w:rPr>
          <w:color w:val="000000" w:themeColor="text1"/>
          <w:szCs w:val="16"/>
        </w:rPr>
        <w:t xml:space="preserve">Report the number of families to whom the surveys were distributed </w:t>
      </w:r>
      <w:r w:rsidR="00AD10DA" w:rsidRPr="003D3ED1">
        <w:t xml:space="preserve">and the </w:t>
      </w:r>
      <w:r w:rsidR="00AD10DA" w:rsidRPr="00007285">
        <w:t xml:space="preserve">number of respondent families participating in Part C. </w:t>
      </w:r>
      <w:r w:rsidR="00AD10DA" w:rsidRPr="00D974E1">
        <w:t>The survey response rate is auto calculated using the submitted data.</w:t>
      </w:r>
    </w:p>
    <w:p w14:paraId="4590CA07" w14:textId="0FDDB606" w:rsidR="00AD10DA" w:rsidRPr="003D3ED1" w:rsidRDefault="00AD10DA" w:rsidP="00AD10DA">
      <w:pPr>
        <w:pStyle w:val="Subhed"/>
        <w:rPr>
          <w:rFonts w:cstheme="minorBidi"/>
          <w:b w:val="0"/>
        </w:rPr>
      </w:pPr>
      <w:r w:rsidRPr="003D3ED1">
        <w:rPr>
          <w:rFonts w:cstheme="minorBidi"/>
          <w:b w:val="0"/>
        </w:rPr>
        <w:t xml:space="preserve">States will be required to </w:t>
      </w:r>
      <w:bookmarkStart w:id="20" w:name="_Hlk78829878"/>
      <w:r w:rsidRPr="003D3ED1">
        <w:rPr>
          <w:rFonts w:cstheme="minorBidi"/>
          <w:b w:val="0"/>
        </w:rPr>
        <w:t>compare the current year’s response rate to the previous year(s) response rate(s),</w:t>
      </w:r>
      <w:r w:rsidR="00BF0C35">
        <w:rPr>
          <w:rFonts w:cstheme="minorBidi"/>
          <w:b w:val="0"/>
        </w:rPr>
        <w:t xml:space="preserve"> </w:t>
      </w:r>
      <w:r w:rsidRPr="003D3ED1">
        <w:rPr>
          <w:rFonts w:cstheme="minorBidi"/>
          <w:b w:val="0"/>
        </w:rPr>
        <w:t>and describe strategies that will be implemented which are expected to increase the response rate year over year, particularly for those groups that are underrepresented</w:t>
      </w:r>
      <w:bookmarkEnd w:id="20"/>
      <w:r w:rsidRPr="003D3ED1">
        <w:rPr>
          <w:rFonts w:cstheme="minorBidi"/>
          <w:b w:val="0"/>
        </w:rPr>
        <w:t>.</w:t>
      </w:r>
    </w:p>
    <w:p w14:paraId="78B2A9FB" w14:textId="42D47853" w:rsidR="00A9742C" w:rsidRPr="00D974E1" w:rsidRDefault="00AD10DA" w:rsidP="00D974E1">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14:paraId="7930042E" w14:textId="119D756E" w:rsidR="00A9742C" w:rsidRPr="00ED172B" w:rsidRDefault="00A9742C" w:rsidP="004D140B">
      <w:pPr>
        <w:rPr>
          <w:color w:val="000000" w:themeColor="text1"/>
          <w:szCs w:val="16"/>
        </w:rPr>
      </w:pPr>
      <w:r w:rsidRPr="00ED172B">
        <w:rPr>
          <w:color w:val="000000" w:themeColor="text1"/>
          <w:szCs w:val="16"/>
        </w:rPr>
        <w:t xml:space="preserve">Include the State’s analysis of the extent to which the demographics of the </w:t>
      </w:r>
      <w:bookmarkStart w:id="21" w:name="_Hlk80187466"/>
      <w:r w:rsidR="00D45F98" w:rsidRPr="003D3ED1">
        <w:t>infants or toddlers for whom</w:t>
      </w:r>
      <w:bookmarkEnd w:id="21"/>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id="22" w:name="_Hlk80187529"/>
      <w:r w:rsidR="00D45F98" w:rsidRPr="003D3ED1">
        <w:t>receiving services</w:t>
      </w:r>
      <w:bookmarkEnd w:id="22"/>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14:paraId="0E673AC0" w14:textId="3FA5EAA2" w:rsidR="00DB61F6" w:rsidRDefault="00DB61F6" w:rsidP="004D140B">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14:paraId="421D5E9C" w14:textId="02970881" w:rsidR="00A9742C" w:rsidRPr="00ED172B" w:rsidRDefault="00A9742C" w:rsidP="004D140B">
      <w:pPr>
        <w:rPr>
          <w:color w:val="000000" w:themeColor="text1"/>
          <w:szCs w:val="16"/>
        </w:rPr>
      </w:pPr>
      <w:r w:rsidRPr="00ED172B">
        <w:rPr>
          <w:color w:val="000000" w:themeColor="text1"/>
          <w:szCs w:val="16"/>
        </w:rPr>
        <w:t xml:space="preserve">If the analysis shows that the demographics of the </w:t>
      </w:r>
      <w:bookmarkStart w:id="23" w:name="_Hlk80196581"/>
      <w:r w:rsidR="00D57F7D" w:rsidRPr="003D3ED1">
        <w:t>infants or toddlers for whom</w:t>
      </w:r>
      <w:bookmarkEnd w:id="23"/>
      <w:r w:rsidRPr="00ED172B">
        <w:rPr>
          <w:color w:val="000000" w:themeColor="text1"/>
          <w:szCs w:val="16"/>
        </w:rPr>
        <w:t xml:space="preserve"> families responded are not representative of the demographics of infants and toddlers </w:t>
      </w:r>
      <w:r w:rsidR="00D57F7D">
        <w:rPr>
          <w:szCs w:val="16"/>
        </w:rPr>
        <w:t>receiving services</w:t>
      </w:r>
      <w:r w:rsidR="00D57F7D" w:rsidRPr="003D3ED1" w:rsidDel="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0049F622" w14:textId="3F60F9DA" w:rsidR="00DB61F6" w:rsidRPr="00E6031E" w:rsidRDefault="00AB026B" w:rsidP="00DB61F6">
      <w:pPr>
        <w:pStyle w:val="Subhed"/>
        <w:rPr>
          <w:rFonts w:cstheme="minorBidi"/>
          <w:b w:val="0"/>
        </w:rPr>
      </w:pPr>
      <w:r>
        <w:rPr>
          <w:rFonts w:cstheme="minorBidi"/>
          <w:b w:val="0"/>
        </w:rPr>
        <w:t>When reporting the extent to which the demographics of the infants or toddlers for whom families responded are representative of the demographics of infants and toddlers enrolled in the Part C program, States must include race/ethnicity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14:paraId="7BC350EC" w14:textId="1993A77F"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19"/>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24"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2020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2021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2022</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80.00%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D21F29">
            <w:pPr>
              <w:jc w:val="cente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78.00%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93.30%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95.37%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96.86%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93.48%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96.59%</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85.10%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D21F29">
            <w:pPr>
              <w:jc w:val="cente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84.00%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83.24%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92.15%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94.24%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90.11%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95.22%</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93.00%</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D21F29">
            <w:pPr>
              <w:jc w:val="cente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81.00%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87.47%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94.77%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95.29%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91.46%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96.59%</w:t>
            </w:r>
          </w:p>
        </w:tc>
      </w:tr>
    </w:tbl>
    <w:p w14:paraId="2A1BA25E" w14:textId="124175C6" w:rsidR="001F545F" w:rsidRPr="00ED172B" w:rsidRDefault="005918D1">
      <w:pPr>
        <w:rPr>
          <w:b/>
          <w:color w:val="000000" w:themeColor="text1"/>
        </w:rPr>
      </w:pPr>
      <w:r w:rsidRPr="00ED172B">
        <w:rPr>
          <w:b/>
          <w:color w:val="000000" w:themeColor="text1"/>
        </w:rPr>
        <w:lastRenderedPageBreak/>
        <w:t>Targets</w:t>
      </w:r>
    </w:p>
    <w:tbl>
      <w:tblPr>
        <w:tblW w:w="2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727"/>
        <w:gridCol w:w="1681"/>
        <w:gridCol w:w="1677"/>
        <w:gridCol w:w="1677"/>
      </w:tblGrid>
      <w:tr w:rsidR="000A0569" w:rsidRPr="00ED172B" w14:paraId="6C023CDC" w14:textId="05C08FAC" w:rsidTr="00EC51AB">
        <w:trPr>
          <w:trHeight w:val="350"/>
        </w:trPr>
        <w:tc>
          <w:tcPr>
            <w:tcW w:w="631" w:type="pct"/>
            <w:tcBorders>
              <w:bottom w:val="single" w:sz="4" w:space="0" w:color="auto"/>
            </w:tcBorders>
            <w:shd w:val="clear" w:color="auto" w:fill="auto"/>
            <w:vAlign w:val="bottom"/>
          </w:tcPr>
          <w:p w14:paraId="0130A8F3" w14:textId="77777777" w:rsidR="000A0569" w:rsidRPr="00ED172B" w:rsidRDefault="000A0569" w:rsidP="008654C9">
            <w:pPr>
              <w:jc w:val="center"/>
              <w:rPr>
                <w:rFonts w:cs="Arial"/>
                <w:b/>
                <w:color w:val="000000" w:themeColor="text1"/>
                <w:szCs w:val="16"/>
              </w:rPr>
            </w:pPr>
            <w:r w:rsidRPr="00ED172B">
              <w:rPr>
                <w:rFonts w:cs="Arial"/>
                <w:b/>
                <w:color w:val="000000" w:themeColor="text1"/>
                <w:szCs w:val="16"/>
              </w:rPr>
              <w:t>FFY</w:t>
            </w:r>
          </w:p>
        </w:tc>
        <w:tc>
          <w:tcPr>
            <w:tcW w:w="1459" w:type="pct"/>
            <w:shd w:val="clear" w:color="auto" w:fill="auto"/>
            <w:vAlign w:val="center"/>
          </w:tcPr>
          <w:p w14:paraId="4732CBBC" w14:textId="72AD1B78" w:rsidR="000A0569" w:rsidRPr="00ED172B" w:rsidRDefault="000A0569" w:rsidP="008654C9">
            <w:pPr>
              <w:jc w:val="center"/>
              <w:rPr>
                <w:rFonts w:cs="Arial"/>
                <w:b/>
                <w:color w:val="000000" w:themeColor="text1"/>
                <w:szCs w:val="16"/>
              </w:rPr>
            </w:pPr>
            <w:r w:rsidRPr="00ED172B">
              <w:rPr>
                <w:rFonts w:cs="Arial"/>
                <w:b/>
                <w:color w:val="000000" w:themeColor="text1"/>
                <w:szCs w:val="16"/>
              </w:rPr>
              <w:t>2023</w:t>
            </w:r>
          </w:p>
        </w:tc>
        <w:tc>
          <w:tcPr>
            <w:tcW w:w="1455" w:type="pct"/>
          </w:tcPr>
          <w:p w14:paraId="4A6AC503" w14:textId="202CF51F" w:rsidR="000A0569" w:rsidRPr="00ED172B" w:rsidRDefault="000A0569" w:rsidP="008654C9">
            <w:pPr>
              <w:jc w:val="center"/>
              <w:rPr>
                <w:rFonts w:cs="Arial"/>
                <w:b/>
                <w:color w:val="000000" w:themeColor="text1"/>
                <w:szCs w:val="16"/>
              </w:rPr>
            </w:pPr>
            <w:r>
              <w:rPr>
                <w:rFonts w:cs="Arial"/>
                <w:b/>
                <w:color w:val="000000" w:themeColor="text1"/>
                <w:szCs w:val="16"/>
              </w:rPr>
              <w:t>2024</w:t>
            </w:r>
          </w:p>
        </w:tc>
        <w:tc>
          <w:tcPr>
            <w:tcW w:w="1455" w:type="pct"/>
          </w:tcPr>
          <w:p w14:paraId="7D14D156" w14:textId="77C45ED4" w:rsidR="000A0569" w:rsidRPr="00ED172B" w:rsidRDefault="000A0569" w:rsidP="008654C9">
            <w:pPr>
              <w:jc w:val="center"/>
              <w:rPr>
                <w:rFonts w:cs="Arial"/>
                <w:b/>
                <w:color w:val="000000" w:themeColor="text1"/>
                <w:szCs w:val="16"/>
              </w:rPr>
            </w:pPr>
            <w:r w:rsidRPr="005A1B4F">
              <w:rPr>
                <w:rFonts w:cs="Arial"/>
                <w:b/>
                <w:color w:val="000000" w:themeColor="text1"/>
                <w:szCs w:val="16"/>
              </w:rPr>
              <w:t>2025</w:t>
            </w:r>
          </w:p>
        </w:tc>
      </w:tr>
      <w:tr w:rsidR="000A0569" w:rsidRPr="00ED172B" w14:paraId="737B1FB1" w14:textId="0E9417A5" w:rsidTr="00EC51AB">
        <w:trPr>
          <w:trHeight w:val="357"/>
        </w:trPr>
        <w:tc>
          <w:tcPr>
            <w:tcW w:w="631" w:type="pct"/>
            <w:shd w:val="clear" w:color="auto" w:fill="auto"/>
          </w:tcPr>
          <w:p w14:paraId="2CE5A688" w14:textId="4C4E1C28" w:rsidR="000A0569" w:rsidRPr="00ED172B" w:rsidRDefault="000A0569" w:rsidP="00D21F29">
            <w:pPr>
              <w:jc w:val="center"/>
              <w:rPr>
                <w:rFonts w:cs="Arial"/>
                <w:color w:val="000000" w:themeColor="text1"/>
                <w:szCs w:val="16"/>
              </w:rPr>
            </w:pPr>
            <w:r w:rsidRPr="00ED172B">
              <w:rPr>
                <w:rFonts w:cs="Arial"/>
                <w:color w:val="000000" w:themeColor="text1"/>
                <w:szCs w:val="16"/>
              </w:rPr>
              <w:t>Target A&gt;=</w:t>
            </w:r>
          </w:p>
        </w:tc>
        <w:tc>
          <w:tcPr>
            <w:tcW w:w="1459" w:type="pct"/>
            <w:shd w:val="clear" w:color="auto" w:fill="auto"/>
            <w:vAlign w:val="center"/>
          </w:tcPr>
          <w:p w14:paraId="0B768807" w14:textId="2DC3CAE1" w:rsidR="000A0569" w:rsidRPr="00ED172B" w:rsidRDefault="000A0569" w:rsidP="002F2336">
            <w:pPr>
              <w:jc w:val="center"/>
              <w:rPr>
                <w:color w:val="000000" w:themeColor="text1"/>
              </w:rPr>
            </w:pPr>
            <w:r w:rsidRPr="00ED172B">
              <w:rPr>
                <w:color w:val="000000" w:themeColor="text1"/>
              </w:rPr>
              <w:t>91.00%</w:t>
            </w:r>
          </w:p>
        </w:tc>
        <w:tc>
          <w:tcPr>
            <w:tcW w:w="1455" w:type="pct"/>
            <w:vAlign w:val="center"/>
          </w:tcPr>
          <w:p w14:paraId="4F6C0542" w14:textId="15CB8941" w:rsidR="000A0569" w:rsidRPr="00794BA1" w:rsidRDefault="000A0569" w:rsidP="002F2336">
            <w:pPr>
              <w:jc w:val="center"/>
              <w:rPr>
                <w:color w:val="000000" w:themeColor="text1"/>
              </w:rPr>
            </w:pPr>
            <w:r w:rsidRPr="00794BA1">
              <w:rPr>
                <w:color w:val="000000" w:themeColor="text1"/>
              </w:rPr>
              <w:t>91.00%</w:t>
            </w:r>
          </w:p>
        </w:tc>
        <w:tc>
          <w:tcPr>
            <w:tcW w:w="1455" w:type="pct"/>
            <w:vAlign w:val="center"/>
          </w:tcPr>
          <w:p w14:paraId="7E129EEC" w14:textId="3C5D3830" w:rsidR="000A0569" w:rsidRPr="00794BA1" w:rsidRDefault="000A0569" w:rsidP="002F2336">
            <w:pPr>
              <w:jc w:val="center"/>
              <w:rPr>
                <w:color w:val="000000" w:themeColor="text1"/>
              </w:rPr>
            </w:pPr>
            <w:r w:rsidRPr="00794BA1">
              <w:rPr>
                <w:color w:val="000000" w:themeColor="text1"/>
              </w:rPr>
              <w:t>91.00%</w:t>
            </w:r>
          </w:p>
        </w:tc>
      </w:tr>
      <w:tr w:rsidR="000A0569" w:rsidRPr="00ED172B" w14:paraId="710D542D" w14:textId="756C8AD1" w:rsidTr="00EC51AB">
        <w:trPr>
          <w:trHeight w:val="357"/>
        </w:trPr>
        <w:tc>
          <w:tcPr>
            <w:tcW w:w="631" w:type="pct"/>
            <w:shd w:val="clear" w:color="auto" w:fill="auto"/>
          </w:tcPr>
          <w:p w14:paraId="557BCF0C" w14:textId="6B9B0AD0" w:rsidR="000A0569" w:rsidRPr="00ED172B" w:rsidRDefault="000A0569" w:rsidP="00D21F29">
            <w:pPr>
              <w:jc w:val="center"/>
              <w:rPr>
                <w:rFonts w:cs="Arial"/>
                <w:color w:val="000000" w:themeColor="text1"/>
                <w:szCs w:val="16"/>
              </w:rPr>
            </w:pPr>
            <w:r w:rsidRPr="00ED172B">
              <w:rPr>
                <w:rFonts w:cs="Arial"/>
                <w:color w:val="000000" w:themeColor="text1"/>
                <w:szCs w:val="16"/>
              </w:rPr>
              <w:t>Target B&gt;=</w:t>
            </w:r>
          </w:p>
        </w:tc>
        <w:tc>
          <w:tcPr>
            <w:tcW w:w="1459" w:type="pct"/>
            <w:shd w:val="clear" w:color="auto" w:fill="auto"/>
            <w:vAlign w:val="center"/>
          </w:tcPr>
          <w:p w14:paraId="2EE14986" w14:textId="19D08E1A" w:rsidR="000A0569" w:rsidRPr="00ED172B" w:rsidRDefault="000A0569" w:rsidP="002F2336">
            <w:pPr>
              <w:jc w:val="center"/>
              <w:rPr>
                <w:color w:val="000000" w:themeColor="text1"/>
              </w:rPr>
            </w:pPr>
            <w:r w:rsidRPr="00ED172B">
              <w:rPr>
                <w:color w:val="000000" w:themeColor="text1"/>
              </w:rPr>
              <w:t>92.00%</w:t>
            </w:r>
          </w:p>
        </w:tc>
        <w:tc>
          <w:tcPr>
            <w:tcW w:w="1455" w:type="pct"/>
            <w:vAlign w:val="center"/>
          </w:tcPr>
          <w:p w14:paraId="45E8EA8A" w14:textId="192846CF" w:rsidR="000A0569" w:rsidRPr="00794BA1" w:rsidRDefault="000A0569" w:rsidP="002F2336">
            <w:pPr>
              <w:jc w:val="center"/>
              <w:rPr>
                <w:color w:val="000000" w:themeColor="text1"/>
              </w:rPr>
            </w:pPr>
            <w:r w:rsidRPr="00794BA1">
              <w:rPr>
                <w:color w:val="000000" w:themeColor="text1"/>
              </w:rPr>
              <w:t>92.00%</w:t>
            </w:r>
          </w:p>
        </w:tc>
        <w:tc>
          <w:tcPr>
            <w:tcW w:w="1455" w:type="pct"/>
            <w:vAlign w:val="center"/>
          </w:tcPr>
          <w:p w14:paraId="137A8927" w14:textId="39313DAE" w:rsidR="000A0569" w:rsidRPr="00794BA1" w:rsidRDefault="000A0569" w:rsidP="002F2336">
            <w:pPr>
              <w:jc w:val="center"/>
              <w:rPr>
                <w:color w:val="000000" w:themeColor="text1"/>
              </w:rPr>
            </w:pPr>
            <w:r w:rsidRPr="00794BA1">
              <w:rPr>
                <w:color w:val="000000" w:themeColor="text1"/>
              </w:rPr>
              <w:t>92.00%</w:t>
            </w:r>
          </w:p>
        </w:tc>
      </w:tr>
      <w:tr w:rsidR="000A0569" w:rsidRPr="00ED172B" w14:paraId="6BF95698" w14:textId="57A8B0C9" w:rsidTr="00EC51AB">
        <w:trPr>
          <w:trHeight w:val="357"/>
        </w:trPr>
        <w:tc>
          <w:tcPr>
            <w:tcW w:w="631" w:type="pct"/>
            <w:shd w:val="clear" w:color="auto" w:fill="auto"/>
          </w:tcPr>
          <w:p w14:paraId="27634074" w14:textId="35FAB710" w:rsidR="000A0569" w:rsidRPr="00ED172B" w:rsidRDefault="000A0569" w:rsidP="00D21F29">
            <w:pPr>
              <w:jc w:val="center"/>
              <w:rPr>
                <w:rFonts w:cs="Arial"/>
                <w:color w:val="000000" w:themeColor="text1"/>
                <w:szCs w:val="16"/>
              </w:rPr>
            </w:pPr>
            <w:r w:rsidRPr="00ED172B">
              <w:rPr>
                <w:rFonts w:cs="Arial"/>
                <w:color w:val="000000" w:themeColor="text1"/>
                <w:szCs w:val="16"/>
              </w:rPr>
              <w:t>Target C&gt;=</w:t>
            </w:r>
          </w:p>
        </w:tc>
        <w:tc>
          <w:tcPr>
            <w:tcW w:w="1459" w:type="pct"/>
            <w:shd w:val="clear" w:color="auto" w:fill="auto"/>
            <w:vAlign w:val="center"/>
          </w:tcPr>
          <w:p w14:paraId="51F920AE" w14:textId="186AEDBE" w:rsidR="000A0569" w:rsidRPr="00ED172B" w:rsidRDefault="000A0569" w:rsidP="002F2336">
            <w:pPr>
              <w:jc w:val="center"/>
              <w:rPr>
                <w:color w:val="000000" w:themeColor="text1"/>
              </w:rPr>
            </w:pPr>
            <w:r w:rsidRPr="00ED172B">
              <w:rPr>
                <w:color w:val="000000" w:themeColor="text1"/>
              </w:rPr>
              <w:t>93.00%</w:t>
            </w:r>
          </w:p>
        </w:tc>
        <w:tc>
          <w:tcPr>
            <w:tcW w:w="1455" w:type="pct"/>
            <w:vAlign w:val="center"/>
          </w:tcPr>
          <w:p w14:paraId="29A82995" w14:textId="6F06C337" w:rsidR="000A0569" w:rsidRPr="00794BA1" w:rsidRDefault="000A0569" w:rsidP="002F2336">
            <w:pPr>
              <w:jc w:val="center"/>
              <w:rPr>
                <w:color w:val="000000" w:themeColor="text1"/>
              </w:rPr>
            </w:pPr>
            <w:r w:rsidRPr="00794BA1">
              <w:rPr>
                <w:color w:val="000000" w:themeColor="text1"/>
              </w:rPr>
              <w:t>93.00%</w:t>
            </w:r>
          </w:p>
        </w:tc>
        <w:tc>
          <w:tcPr>
            <w:tcW w:w="1455" w:type="pct"/>
            <w:vAlign w:val="center"/>
          </w:tcPr>
          <w:p w14:paraId="3350033C" w14:textId="717C16E7" w:rsidR="000A0569" w:rsidRPr="00794BA1" w:rsidRDefault="000A0569" w:rsidP="002F2336">
            <w:pPr>
              <w:jc w:val="center"/>
              <w:rPr>
                <w:color w:val="000000" w:themeColor="text1"/>
              </w:rPr>
            </w:pPr>
            <w:r w:rsidRPr="00794BA1">
              <w:rPr>
                <w:color w:val="000000" w:themeColor="text1"/>
              </w:rPr>
              <w:t>93.00%</w:t>
            </w:r>
          </w:p>
        </w:tc>
      </w:tr>
    </w:tbl>
    <w:bookmarkEnd w:id="24"/>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519933C" w14:textId="63B27792" w:rsidR="006902F0" w:rsidRPr="00ED172B" w:rsidRDefault="006902F0" w:rsidP="00B83404">
      <w:pPr>
        <w:rPr>
          <w:color w:val="000000" w:themeColor="text1"/>
        </w:rPr>
      </w:pPr>
      <w:r w:rsidRPr="00ED172B">
        <w:rPr>
          <w:rFonts w:cs="Arial"/>
          <w:color w:val="000000" w:themeColor="text1"/>
          <w:szCs w:val="16"/>
        </w:rPr>
        <w:t>Stakeholder involvement in the development of APR Indicators is described in the Introduction Section of the APR and the process included the target setting for Indicator 4 during the 2020-21 fiscal year. Stakeholders were involved in designing the family survey process with the EarlySteps Community Outreach Specialists (COSs) reviewing and recommending the Early Childhood Outcomes (ECO) Center, Family Outcomes Survey, Revised Version, and selecting this survey for use for the mailed surveys to which families responded. Prior to this time, the original version of the ECO Family Outcomes Survey was used in Louisiana. Additional State-developed questions were added to the revised survey in 2014-15. The revisions to the survey are intended to capture items related to the state's State Identified Measurable Result (SIMR): the EarlySteps system will improve child outcomes through supports that are focused on family concerns, priorities, and resources and provided through a team-based approach. The Family Outcomes Survey, Revised Version uses a 5-item rating scale. EarlySteps considers a response of "Somewhat helpful" or better as the criteria for determining if early intervention services “helped/describes their family.” There were 671 responses received to the Family Outcomes survey.</w:t>
      </w:r>
    </w:p>
    <w:p w14:paraId="3FB4EB9B" w14:textId="77777777" w:rsidR="007011EC" w:rsidRPr="00ED172B" w:rsidRDefault="007011EC" w:rsidP="00F80C9C">
      <w:pPr>
        <w:rPr>
          <w:rFonts w:cs="Arial"/>
          <w:color w:val="000000" w:themeColor="text1"/>
          <w:szCs w:val="16"/>
        </w:rPr>
      </w:pPr>
    </w:p>
    <w:p w14:paraId="03DEBF84" w14:textId="065E0414" w:rsidR="004D140B" w:rsidRPr="00ED172B" w:rsidRDefault="00F22D09">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9355"/>
        <w:gridCol w:w="1435"/>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5" w:name="_Toc392159275"/>
            <w:bookmarkStart w:id="26" w:name="_Toc382082367"/>
            <w:bookmarkStart w:id="27"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1,981</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671</w:t>
            </w:r>
          </w:p>
        </w:tc>
      </w:tr>
      <w:tr w:rsidR="001B1139" w:rsidRPr="00ED172B" w14:paraId="69355969" w14:textId="77777777" w:rsidTr="00186420">
        <w:trPr>
          <w:trHeight w:val="20"/>
        </w:trPr>
        <w:tc>
          <w:tcPr>
            <w:tcW w:w="4335" w:type="pct"/>
            <w:vAlign w:val="center"/>
          </w:tcPr>
          <w:p w14:paraId="658CA13E" w14:textId="32786A97" w:rsidR="001B1139" w:rsidRPr="00ED172B" w:rsidRDefault="001B1139">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14:paraId="5F12A448" w14:textId="772DE88B" w:rsidR="001B1139" w:rsidRPr="00ED172B" w:rsidRDefault="001B1139">
            <w:pPr>
              <w:jc w:val="center"/>
              <w:rPr>
                <w:rFonts w:cs="Arial"/>
                <w:color w:val="000000" w:themeColor="text1"/>
                <w:szCs w:val="16"/>
              </w:rPr>
            </w:pPr>
            <w:r w:rsidRPr="00ED172B">
              <w:rPr>
                <w:rFonts w:cs="Arial"/>
                <w:color w:val="000000" w:themeColor="text1"/>
                <w:szCs w:val="16"/>
              </w:rPr>
              <w:t>33.87%</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661</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671</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656</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671</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658</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671</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14:paraId="1B40DAB0" w14:textId="5FCF2B9C" w:rsidR="004B755C" w:rsidRPr="00ED172B" w:rsidRDefault="00CD74B5" w:rsidP="004B755C">
            <w:pPr>
              <w:jc w:val="center"/>
              <w:rPr>
                <w:rFonts w:cs="Arial"/>
                <w:b/>
                <w:color w:val="000000" w:themeColor="text1"/>
                <w:szCs w:val="16"/>
              </w:rPr>
            </w:pPr>
            <w:r>
              <w:rPr>
                <w:rFonts w:cs="Arial"/>
                <w:b/>
                <w:color w:val="000000" w:themeColor="text1"/>
                <w:szCs w:val="16"/>
              </w:rPr>
              <w:t>FFY 2022 Data</w:t>
            </w:r>
          </w:p>
        </w:tc>
        <w:tc>
          <w:tcPr>
            <w:tcW w:w="626" w:type="pct"/>
            <w:shd w:val="clear" w:color="auto" w:fill="auto"/>
            <w:vAlign w:val="bottom"/>
          </w:tcPr>
          <w:p w14:paraId="68283261" w14:textId="29C8F04A" w:rsidR="004B755C" w:rsidRPr="00ED172B" w:rsidRDefault="00F22D09" w:rsidP="004B755C">
            <w:pPr>
              <w:jc w:val="center"/>
              <w:rPr>
                <w:rFonts w:cs="Arial"/>
                <w:b/>
                <w:color w:val="000000" w:themeColor="text1"/>
                <w:szCs w:val="16"/>
              </w:rPr>
            </w:pPr>
            <w:r>
              <w:rPr>
                <w:rFonts w:cs="Arial"/>
                <w:b/>
                <w:color w:val="000000" w:themeColor="text1"/>
                <w:szCs w:val="16"/>
              </w:rPr>
              <w:t>FFY 2023 Target</w:t>
            </w:r>
          </w:p>
        </w:tc>
        <w:tc>
          <w:tcPr>
            <w:tcW w:w="667" w:type="pct"/>
            <w:shd w:val="clear" w:color="auto" w:fill="auto"/>
            <w:vAlign w:val="bottom"/>
          </w:tcPr>
          <w:p w14:paraId="7105063D" w14:textId="1CB720F3" w:rsidR="004B755C" w:rsidRPr="00ED172B" w:rsidRDefault="00F22D09" w:rsidP="004B755C">
            <w:pPr>
              <w:jc w:val="center"/>
              <w:rPr>
                <w:rFonts w:cs="Arial"/>
                <w:b/>
                <w:color w:val="000000" w:themeColor="text1"/>
                <w:szCs w:val="16"/>
              </w:rPr>
            </w:pPr>
            <w:r>
              <w:rPr>
                <w:rFonts w:cs="Arial"/>
                <w:b/>
                <w:color w:val="000000" w:themeColor="text1"/>
                <w:szCs w:val="16"/>
              </w:rPr>
              <w:t>FFY 2023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96.59%</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91.00%</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98.51%</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95.22%</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97.76%</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96.59%</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93.00%</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98.06%</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bl>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9B2EB4">
            <w:pPr>
              <w:rPr>
                <w:rFonts w:cs="Arial"/>
                <w:color w:val="000000" w:themeColor="text1"/>
                <w:szCs w:val="16"/>
              </w:rPr>
            </w:pPr>
            <w:r w:rsidRPr="00ED172B">
              <w:rPr>
                <w:rFonts w:cs="Arial"/>
                <w:color w:val="000000" w:themeColor="text1"/>
                <w:szCs w:val="16"/>
              </w:rPr>
              <w:t>NO</w:t>
            </w:r>
          </w:p>
        </w:tc>
      </w:tr>
    </w:tbl>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2"/>
        <w:gridCol w:w="2268"/>
      </w:tblGrid>
      <w:tr w:rsidR="00ED172B" w:rsidRPr="00ED172B" w14:paraId="0407055E" w14:textId="77777777" w:rsidTr="002167E3">
        <w:trPr>
          <w:tblHeader/>
        </w:trPr>
        <w:tc>
          <w:tcPr>
            <w:tcW w:w="3949"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1"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2167E3">
        <w:tc>
          <w:tcPr>
            <w:tcW w:w="3949"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1" w:type="pct"/>
          </w:tcPr>
          <w:p w14:paraId="7F712EBC" w14:textId="0CC49D8E" w:rsidR="00013004" w:rsidRPr="00ED172B" w:rsidRDefault="00860830" w:rsidP="009B2EB4">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2167E3">
        <w:tc>
          <w:tcPr>
            <w:tcW w:w="3949"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1" w:type="pct"/>
          </w:tcPr>
          <w:p w14:paraId="703575B9" w14:textId="567842E0" w:rsidR="00013004" w:rsidRPr="00ED172B" w:rsidRDefault="00860830" w:rsidP="009B2EB4">
            <w:pPr>
              <w:rPr>
                <w:rFonts w:cs="Arial"/>
                <w:color w:val="000000" w:themeColor="text1"/>
                <w:szCs w:val="16"/>
              </w:rPr>
            </w:pPr>
            <w:r w:rsidRPr="00ED172B">
              <w:rPr>
                <w:rFonts w:cs="Arial"/>
                <w:color w:val="000000" w:themeColor="text1"/>
                <w:szCs w:val="16"/>
              </w:rPr>
              <w:t>NO</w:t>
            </w:r>
          </w:p>
        </w:tc>
      </w:tr>
    </w:tbl>
    <w:p w14:paraId="1EC7965B" w14:textId="77777777" w:rsidR="00437F97" w:rsidRDefault="00437F97" w:rsidP="00437F97">
      <w:pPr>
        <w:rPr>
          <w:rFonts w:cs="Arial"/>
          <w:b/>
          <w:color w:val="000000" w:themeColor="text1"/>
          <w:szCs w:val="16"/>
        </w:rPr>
      </w:pPr>
    </w:p>
    <w:p w14:paraId="13E7C533" w14:textId="7A868FC9" w:rsidR="00BD192E" w:rsidRPr="00E310A4" w:rsidRDefault="00BD192E" w:rsidP="00BD192E">
      <w:pPr>
        <w:rPr>
          <w:rFonts w:cs="Arial"/>
          <w:b/>
          <w:bCs/>
          <w:szCs w:val="16"/>
        </w:rPr>
      </w:pPr>
      <w:r w:rsidRPr="00E310A4">
        <w:rPr>
          <w:rFonts w:cs="Arial"/>
          <w:b/>
          <w:bCs/>
          <w:szCs w:val="16"/>
        </w:rPr>
        <w:t>Response Rate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CFFYSVYRESPRATE"/>
      </w:tblPr>
      <w:tblGrid>
        <w:gridCol w:w="1918"/>
        <w:gridCol w:w="4438"/>
        <w:gridCol w:w="4438"/>
      </w:tblGrid>
      <w:tr w:rsidR="00550FC1" w:rsidRPr="00ED172B" w14:paraId="4B7EC210" w14:textId="77777777" w:rsidTr="0055373D">
        <w:trPr>
          <w:trHeight w:val="350"/>
        </w:trPr>
        <w:tc>
          <w:tcPr>
            <w:tcW w:w="888" w:type="pct"/>
            <w:tcBorders>
              <w:bottom w:val="single" w:sz="4" w:space="0" w:color="auto"/>
            </w:tcBorders>
            <w:shd w:val="clear" w:color="auto" w:fill="auto"/>
            <w:vAlign w:val="bottom"/>
          </w:tcPr>
          <w:p w14:paraId="166627DF" w14:textId="77777777" w:rsidR="00550FC1" w:rsidRPr="00ED172B" w:rsidRDefault="00550FC1" w:rsidP="00B073DB">
            <w:pPr>
              <w:jc w:val="center"/>
              <w:rPr>
                <w:rFonts w:cs="Arial"/>
                <w:b/>
                <w:color w:val="000000" w:themeColor="text1"/>
                <w:szCs w:val="16"/>
              </w:rPr>
            </w:pPr>
            <w:r w:rsidRPr="00ED172B">
              <w:rPr>
                <w:rFonts w:cs="Arial"/>
                <w:b/>
                <w:color w:val="000000" w:themeColor="text1"/>
                <w:szCs w:val="16"/>
              </w:rPr>
              <w:lastRenderedPageBreak/>
              <w:t>FFY</w:t>
            </w:r>
          </w:p>
        </w:tc>
        <w:tc>
          <w:tcPr>
            <w:tcW w:w="2056" w:type="pct"/>
            <w:shd w:val="clear" w:color="auto" w:fill="auto"/>
            <w:vAlign w:val="center"/>
          </w:tcPr>
          <w:p w14:paraId="681441EB" w14:textId="1756F53D" w:rsidR="00550FC1" w:rsidRPr="00ED172B" w:rsidRDefault="00550FC1" w:rsidP="00B073DB">
            <w:pPr>
              <w:jc w:val="center"/>
              <w:rPr>
                <w:rFonts w:cs="Arial"/>
                <w:b/>
                <w:color w:val="000000" w:themeColor="text1"/>
                <w:szCs w:val="16"/>
              </w:rPr>
            </w:pPr>
            <w:r w:rsidRPr="00ED172B">
              <w:rPr>
                <w:rFonts w:cs="Arial"/>
                <w:b/>
                <w:color w:val="000000" w:themeColor="text1"/>
                <w:szCs w:val="16"/>
              </w:rPr>
              <w:t>2022</w:t>
            </w:r>
          </w:p>
        </w:tc>
        <w:tc>
          <w:tcPr>
            <w:tcW w:w="2056" w:type="pct"/>
          </w:tcPr>
          <w:p w14:paraId="6C31BF24" w14:textId="58D9F852" w:rsidR="00550FC1" w:rsidRPr="00ED172B" w:rsidRDefault="00550FC1" w:rsidP="00B073DB">
            <w:pPr>
              <w:jc w:val="center"/>
              <w:rPr>
                <w:rFonts w:cs="Arial"/>
                <w:b/>
                <w:color w:val="000000" w:themeColor="text1"/>
                <w:szCs w:val="16"/>
              </w:rPr>
            </w:pPr>
            <w:r>
              <w:rPr>
                <w:rFonts w:cs="Arial"/>
                <w:b/>
                <w:color w:val="000000" w:themeColor="text1"/>
                <w:szCs w:val="16"/>
              </w:rPr>
              <w:t>2023</w:t>
            </w:r>
          </w:p>
        </w:tc>
      </w:tr>
      <w:tr w:rsidR="00550FC1" w:rsidRPr="00794BA1" w14:paraId="0C44F5DB" w14:textId="77777777" w:rsidTr="0055373D">
        <w:trPr>
          <w:trHeight w:val="357"/>
        </w:trPr>
        <w:tc>
          <w:tcPr>
            <w:tcW w:w="888" w:type="pct"/>
            <w:shd w:val="clear" w:color="auto" w:fill="auto"/>
          </w:tcPr>
          <w:p w14:paraId="58E7AE90" w14:textId="63CAE467" w:rsidR="00550FC1" w:rsidRPr="00ED172B" w:rsidRDefault="00550FC1" w:rsidP="00D21F29">
            <w:pPr>
              <w:jc w:val="center"/>
              <w:rPr>
                <w:rFonts w:cs="Arial"/>
                <w:color w:val="000000" w:themeColor="text1"/>
                <w:szCs w:val="16"/>
              </w:rPr>
            </w:pPr>
            <w:r>
              <w:rPr>
                <w:rFonts w:cs="Arial"/>
                <w:szCs w:val="16"/>
              </w:rPr>
              <w:t>Survey Response Rate</w:t>
            </w:r>
          </w:p>
        </w:tc>
        <w:tc>
          <w:tcPr>
            <w:tcW w:w="2056" w:type="pct"/>
            <w:shd w:val="clear" w:color="auto" w:fill="auto"/>
            <w:vAlign w:val="center"/>
          </w:tcPr>
          <w:p w14:paraId="4B20A07B" w14:textId="0AA48EA3" w:rsidR="00550FC1" w:rsidRPr="00ED172B" w:rsidRDefault="00550FC1" w:rsidP="00B073DB">
            <w:pPr>
              <w:jc w:val="center"/>
              <w:rPr>
                <w:color w:val="000000" w:themeColor="text1"/>
              </w:rPr>
            </w:pPr>
            <w:r w:rsidRPr="00ED172B">
              <w:rPr>
                <w:color w:val="000000" w:themeColor="text1"/>
              </w:rPr>
              <w:t>20.18%</w:t>
            </w:r>
          </w:p>
        </w:tc>
        <w:tc>
          <w:tcPr>
            <w:tcW w:w="2056" w:type="pct"/>
            <w:vAlign w:val="center"/>
          </w:tcPr>
          <w:p w14:paraId="3DB9642D" w14:textId="6600A861" w:rsidR="00550FC1" w:rsidRPr="00794BA1" w:rsidRDefault="00550FC1" w:rsidP="00B073DB">
            <w:pPr>
              <w:jc w:val="center"/>
              <w:rPr>
                <w:color w:val="000000" w:themeColor="text1"/>
              </w:rPr>
            </w:pPr>
            <w:r w:rsidRPr="00794BA1">
              <w:rPr>
                <w:color w:val="000000" w:themeColor="text1"/>
              </w:rPr>
              <w:t>33.87%</w:t>
            </w:r>
          </w:p>
        </w:tc>
      </w:tr>
    </w:tbl>
    <w:p w14:paraId="751565F3" w14:textId="77777777" w:rsidR="00BD192E" w:rsidRDefault="00BD192E" w:rsidP="00437F97">
      <w:pPr>
        <w:rPr>
          <w:rFonts w:cs="Arial"/>
          <w:b/>
          <w:color w:val="000000" w:themeColor="text1"/>
          <w:szCs w:val="16"/>
        </w:rPr>
      </w:pPr>
    </w:p>
    <w:p w14:paraId="620CE314" w14:textId="25B157D3" w:rsidR="00437F97" w:rsidRPr="005E75A0" w:rsidRDefault="6D93630C" w:rsidP="7116EC8A">
      <w:pPr>
        <w:rPr>
          <w:rFonts w:cs="Arial"/>
          <w:b/>
          <w:bCs/>
          <w:color w:val="000000" w:themeColor="text1"/>
        </w:rPr>
      </w:pPr>
      <w:r w:rsidRPr="7116EC8A">
        <w:rPr>
          <w:rFonts w:cs="Arial"/>
          <w:b/>
          <w:bCs/>
          <w:color w:val="000000" w:themeColor="text1"/>
        </w:rPr>
        <w:t>Describe the metric used to determine representativeness (e.g., +/- 3% discrepancy in the proportion of responders compared to target group).</w:t>
      </w:r>
    </w:p>
    <w:p w14:paraId="406DCC06" w14:textId="77777777" w:rsidR="00437F97" w:rsidRPr="00F85A5B" w:rsidRDefault="00437F97" w:rsidP="00437F97">
      <w:pPr>
        <w:rPr>
          <w:rFonts w:cs="Arial"/>
          <w:color w:val="000000" w:themeColor="text1"/>
          <w:szCs w:val="16"/>
        </w:rPr>
      </w:pPr>
      <w:r w:rsidRPr="00ED172B">
        <w:rPr>
          <w:rFonts w:cs="Arial"/>
          <w:color w:val="000000" w:themeColor="text1"/>
          <w:szCs w:val="16"/>
        </w:rPr>
        <w:t>Representativeness of responders was determined by comparing the demographics of the responders with the demographics of the general population of children in EarlySteps: responders’ race distribution compared to child count race distribution, gender, income, length of time in early intervention, and regional distribution of responders compared to regional distribution of the population. To further verify representativeness of the responses to the EarlySteps population, the Representativeness Calculator from the Early Childhood Technical Assistance Center was used verifying representativeness of income level and language of the respondents. The responses using the calculator indicated that the data were representative for language, regional distribution of responses compared to exits, and race</w:t>
      </w:r>
    </w:p>
    <w:p w14:paraId="487053D7" w14:textId="77777777" w:rsidR="0084778F" w:rsidRDefault="0084778F" w:rsidP="00013004">
      <w:pPr>
        <w:rPr>
          <w:rFonts w:cs="Arial"/>
          <w:b/>
          <w:color w:val="000000" w:themeColor="text1"/>
          <w:szCs w:val="16"/>
        </w:rPr>
      </w:pPr>
    </w:p>
    <w:p w14:paraId="5A646F67" w14:textId="6737FB8D" w:rsidR="00437F97" w:rsidRPr="005E75A0" w:rsidRDefault="00437F97" w:rsidP="00437F97">
      <w:pPr>
        <w:rPr>
          <w:b/>
          <w:color w:val="000000" w:themeColor="text1"/>
        </w:rPr>
      </w:pPr>
      <w:r w:rsidRPr="005E75A0">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 States should consider categories such as race/ethnicity, age of infant or toddler, and geographic location in the State. States must include race/ethnicity in their analysis. In addition, the State’s analysis must include at least one of the following demographics: socioeconomic status, parents, or guardians whose primary language is other than English and who have limited English proficiency, maternal education, geographic location, and/or another category approved through the stakeholder input process</w:t>
      </w:r>
      <w:r w:rsidRPr="005E75A0">
        <w:rPr>
          <w:b/>
          <w:color w:val="000000" w:themeColor="text1"/>
        </w:rPr>
        <w:t>.</w:t>
      </w:r>
    </w:p>
    <w:p w14:paraId="1C32899A" w14:textId="545EF832" w:rsidR="00437F97" w:rsidRPr="00437F97" w:rsidRDefault="00437F97" w:rsidP="00437F97">
      <w:pPr>
        <w:rPr>
          <w:b/>
          <w:color w:val="000000" w:themeColor="text1"/>
        </w:rPr>
      </w:pPr>
      <w:r w:rsidRPr="00437F97">
        <w:rPr>
          <w:rFonts w:cs="Arial"/>
          <w:bCs/>
          <w:color w:val="000000" w:themeColor="text1"/>
          <w:szCs w:val="16"/>
        </w:rPr>
        <w:t xml:space="preserve">Completed survey information was received from 671 families of the age 3 exits from January 2024 - June 2024. Louisiana uses multiple questions from the survey for each Indicator 4 area: rights (4a), communicating needs (4b) and helping their child develop and learn (4c). Since multiple questions are used for each area, the response totals are averaged in each measure. The total responses scoring "somewhat helpful" or better for each area is the numerator. Family surveys are provided in English and translation are provided when applicable. </w:t>
      </w:r>
      <w:r w:rsidRPr="00437F97">
        <w:rPr>
          <w:rFonts w:cs="Arial"/>
          <w:bCs/>
          <w:color w:val="000000" w:themeColor="text1"/>
          <w:szCs w:val="16"/>
        </w:rPr>
        <w:br/>
        <w:t>As part of the collection of information about the surveyed families, they were asked to indicate the length of time their child was in EarlySteps:</w:t>
      </w:r>
      <w:r w:rsidRPr="00437F97">
        <w:rPr>
          <w:rFonts w:cs="Arial"/>
          <w:bCs/>
          <w:color w:val="000000" w:themeColor="text1"/>
          <w:szCs w:val="16"/>
        </w:rPr>
        <w:br/>
        <w:t>• 13.86% of the respondent’s children had been in EarlySteps for less than 6 months;</w:t>
      </w:r>
      <w:r w:rsidRPr="00437F97">
        <w:rPr>
          <w:rFonts w:cs="Arial"/>
          <w:bCs/>
          <w:color w:val="000000" w:themeColor="text1"/>
          <w:szCs w:val="16"/>
        </w:rPr>
        <w:br/>
        <w:t>• 25.19% of the children had been in EarlySteps for 6 months to 1 year;</w:t>
      </w:r>
      <w:r w:rsidRPr="00437F97">
        <w:rPr>
          <w:rFonts w:cs="Arial"/>
          <w:bCs/>
          <w:color w:val="000000" w:themeColor="text1"/>
          <w:szCs w:val="16"/>
        </w:rPr>
        <w:br/>
        <w:t>• 39.05% of the children had been in EarlySteps for 1 to 2 years;</w:t>
      </w:r>
      <w:r w:rsidRPr="00437F97">
        <w:rPr>
          <w:rFonts w:cs="Arial"/>
          <w:bCs/>
          <w:color w:val="000000" w:themeColor="text1"/>
          <w:szCs w:val="16"/>
        </w:rPr>
        <w:br/>
        <w:t>• 21.31% children had been in EarlySteps greater than 2 years; and</w:t>
      </w:r>
      <w:r w:rsidRPr="00437F97">
        <w:rPr>
          <w:rFonts w:cs="Arial"/>
          <w:bCs/>
          <w:color w:val="000000" w:themeColor="text1"/>
          <w:szCs w:val="16"/>
        </w:rPr>
        <w:br/>
        <w:t>• 0.59% did not respond to the question.</w:t>
      </w:r>
      <w:r w:rsidRPr="00437F97">
        <w:rPr>
          <w:rFonts w:cs="Arial"/>
          <w:bCs/>
          <w:color w:val="000000" w:themeColor="text1"/>
          <w:szCs w:val="16"/>
        </w:rPr>
        <w:br/>
      </w:r>
      <w:r w:rsidRPr="00437F97">
        <w:rPr>
          <w:rFonts w:cs="Arial"/>
          <w:bCs/>
          <w:color w:val="000000" w:themeColor="text1"/>
          <w:szCs w:val="16"/>
        </w:rPr>
        <w:br/>
        <w:t xml:space="preserve">The average length of time for a child to remain in EarlySteps during 2023-24 was 18 - 22 months. </w:t>
      </w:r>
      <w:r w:rsidRPr="00437F97">
        <w:rPr>
          <w:rFonts w:cs="Arial"/>
          <w:bCs/>
          <w:color w:val="000000" w:themeColor="text1"/>
          <w:szCs w:val="16"/>
        </w:rPr>
        <w:br/>
      </w:r>
      <w:r w:rsidRPr="00437F97">
        <w:rPr>
          <w:rFonts w:cs="Arial"/>
          <w:bCs/>
          <w:color w:val="000000" w:themeColor="text1"/>
          <w:szCs w:val="16"/>
        </w:rPr>
        <w:br/>
        <w:t>The distribution of survey responses across races closely mirrored race distribution of the 2022 child count. Comparison of responses from families designating their child’s race with the 2022 child count:</w:t>
      </w:r>
      <w:r w:rsidRPr="00437F97">
        <w:rPr>
          <w:rFonts w:cs="Arial"/>
          <w:bCs/>
          <w:color w:val="000000" w:themeColor="text1"/>
          <w:szCs w:val="16"/>
        </w:rPr>
        <w:br/>
        <w:t>• White was 40.68%, 2022 child count 45.17%</w:t>
      </w:r>
      <w:r w:rsidRPr="00437F97">
        <w:rPr>
          <w:rFonts w:cs="Arial"/>
          <w:bCs/>
          <w:color w:val="000000" w:themeColor="text1"/>
          <w:szCs w:val="16"/>
        </w:rPr>
        <w:br/>
        <w:t>• African American/Black 43.51%, 2022 child count 41.65%</w:t>
      </w:r>
      <w:r w:rsidRPr="00437F97">
        <w:rPr>
          <w:rFonts w:cs="Arial"/>
          <w:bCs/>
          <w:color w:val="000000" w:themeColor="text1"/>
          <w:szCs w:val="16"/>
        </w:rPr>
        <w:br/>
        <w:t>• Two or more races 9.09%, 2022 child count 4.91%</w:t>
      </w:r>
      <w:r w:rsidRPr="00437F97">
        <w:rPr>
          <w:rFonts w:cs="Arial"/>
          <w:bCs/>
          <w:color w:val="000000" w:themeColor="text1"/>
          <w:szCs w:val="16"/>
        </w:rPr>
        <w:br/>
        <w:t>• Hispanic 3.72%, 2022 child count 6.96%</w:t>
      </w:r>
      <w:r w:rsidRPr="00437F97">
        <w:rPr>
          <w:rFonts w:cs="Arial"/>
          <w:bCs/>
          <w:color w:val="000000" w:themeColor="text1"/>
          <w:szCs w:val="16"/>
        </w:rPr>
        <w:br/>
        <w:t>• American Indian/Alaska Native 0.14%, 2022 child count 0.19%</w:t>
      </w:r>
      <w:r w:rsidRPr="00437F97">
        <w:rPr>
          <w:rFonts w:cs="Arial"/>
          <w:bCs/>
          <w:color w:val="000000" w:themeColor="text1"/>
          <w:szCs w:val="16"/>
        </w:rPr>
        <w:br/>
        <w:t>• Asian 0.47%, 2022 child count 1.03%</w:t>
      </w:r>
      <w:r w:rsidRPr="00437F97">
        <w:rPr>
          <w:rFonts w:cs="Arial"/>
          <w:bCs/>
          <w:color w:val="000000" w:themeColor="text1"/>
          <w:szCs w:val="16"/>
        </w:rPr>
        <w:br/>
        <w:t xml:space="preserve">• Native Hawaiian/Other Pacific Islander 0%, 2022 child count 0.09% </w:t>
      </w:r>
      <w:r w:rsidRPr="00437F97">
        <w:rPr>
          <w:rFonts w:cs="Arial"/>
          <w:bCs/>
          <w:color w:val="000000" w:themeColor="text1"/>
          <w:szCs w:val="16"/>
        </w:rPr>
        <w:br/>
        <w:t>• Other race 0.47%, 2022 child count 0%</w:t>
      </w:r>
      <w:r w:rsidRPr="00437F97">
        <w:rPr>
          <w:rFonts w:cs="Arial"/>
          <w:bCs/>
          <w:color w:val="000000" w:themeColor="text1"/>
          <w:szCs w:val="16"/>
        </w:rPr>
        <w:br/>
        <w:t>• Did not identify 1.92%, 2022 child count 0%</w:t>
      </w:r>
      <w:r w:rsidRPr="00437F97">
        <w:rPr>
          <w:rFonts w:cs="Arial"/>
          <w:bCs/>
          <w:color w:val="000000" w:themeColor="text1"/>
          <w:szCs w:val="16"/>
        </w:rPr>
        <w:br/>
        <w:t>Percentage responses by the child’s gender were compared with exit data:</w:t>
      </w:r>
      <w:r w:rsidRPr="00437F97">
        <w:rPr>
          <w:rFonts w:cs="Arial"/>
          <w:bCs/>
          <w:color w:val="000000" w:themeColor="text1"/>
          <w:szCs w:val="16"/>
        </w:rPr>
        <w:br/>
        <w:t>• Male gender by responses was 59.76 and by exit data 62.15</w:t>
      </w:r>
      <w:r w:rsidRPr="00437F97">
        <w:rPr>
          <w:rFonts w:cs="Arial"/>
          <w:bCs/>
          <w:color w:val="000000" w:themeColor="text1"/>
          <w:szCs w:val="16"/>
        </w:rPr>
        <w:br/>
        <w:t>• Female gender by responses was 38.60 and by exit data 37.85%.</w:t>
      </w:r>
      <w:r w:rsidRPr="00437F97">
        <w:rPr>
          <w:rFonts w:cs="Arial"/>
          <w:bCs/>
          <w:color w:val="000000" w:themeColor="text1"/>
          <w:szCs w:val="16"/>
        </w:rPr>
        <w:br/>
        <w:t>• Did not identify 1.64%</w:t>
      </w:r>
    </w:p>
    <w:p w14:paraId="4CD0DA7B" w14:textId="3B7BFD0F" w:rsidR="00437F97" w:rsidRPr="000762B0" w:rsidRDefault="00846C1E" w:rsidP="00437F97">
      <w:pPr>
        <w:pStyle w:val="Subhed"/>
        <w:rPr>
          <w:bCs/>
        </w:rPr>
      </w:pPr>
      <w:r w:rsidRPr="00ED172B">
        <w:rPr>
          <w:color w:val="000000" w:themeColor="text1"/>
        </w:rPr>
        <w:t>The demographics of the infants or toddlers for whom families responded are representative of the demographics of infants and toddlers enrolled in the Part C program. (</w:t>
      </w:r>
      <w:r w:rsidR="00437F97" w:rsidRPr="000762B0">
        <w:rPr>
          <w:bCs/>
        </w:rPr>
        <w:t>yes/no)</w:t>
      </w:r>
    </w:p>
    <w:p w14:paraId="1F122EF3" w14:textId="1F82FAD8" w:rsidR="00F5591B" w:rsidRDefault="00846C1E" w:rsidP="00437F97">
      <w:pPr>
        <w:pStyle w:val="Subhed"/>
        <w:rPr>
          <w:b w:val="0"/>
          <w:bCs/>
          <w:color w:val="000000" w:themeColor="text1"/>
        </w:rPr>
      </w:pPr>
      <w:r w:rsidRPr="00ED172B">
        <w:rPr>
          <w:color w:val="000000" w:themeColor="text1"/>
        </w:rPr>
        <w:t>YES</w:t>
      </w:r>
    </w:p>
    <w:p w14:paraId="0C9DACE6" w14:textId="11DE96AB" w:rsidR="00DF2F4F" w:rsidRPr="00DF2F4F" w:rsidRDefault="00DF2F4F" w:rsidP="00DF2F4F">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14:paraId="1BDBFDFD" w14:textId="162256F1" w:rsidR="00DF2F4F" w:rsidRDefault="00DF2F4F" w:rsidP="00DF2F4F">
      <w:pPr>
        <w:rPr>
          <w:rFonts w:cs="Arial"/>
          <w:b/>
          <w:color w:val="000000" w:themeColor="text1"/>
          <w:szCs w:val="16"/>
        </w:rPr>
      </w:pPr>
      <w:r w:rsidRPr="00ED172B">
        <w:rPr>
          <w:rFonts w:cs="Arial"/>
          <w:color w:val="000000" w:themeColor="text1"/>
          <w:szCs w:val="16"/>
        </w:rPr>
        <w:t xml:space="preserve">As part of its system improvement activities and State-Identified Measurable Result (SIMR) to improve child outcomes through a focus on family priorities, the EarlySteps Community Outreach Specialists (COSs), state parent liaison, other stakeholders, and state staff developed improvement strategies to improve the family outcomes measurement process including increasing the response rate to the family survey. The specific process used has varied slightly each year in an attempt to improve the return rate. Processes include telephone interviews with exiting families each month, mail-out surveys to families exiting in specific months and using an online survey. </w:t>
      </w:r>
      <w:r w:rsidRPr="00ED172B">
        <w:rPr>
          <w:rFonts w:cs="Arial"/>
          <w:color w:val="000000" w:themeColor="text1"/>
          <w:szCs w:val="16"/>
        </w:rPr>
        <w:br/>
      </w:r>
      <w:r w:rsidRPr="00ED172B">
        <w:rPr>
          <w:rFonts w:cs="Arial"/>
          <w:color w:val="000000" w:themeColor="text1"/>
          <w:szCs w:val="16"/>
        </w:rPr>
        <w:br/>
        <w:t xml:space="preserve">The Community Outreach Specialists across the state and the State Parent Liaison coordinated the family survey process using the revised version of the Family Outcomes Survey. In an attempt to improve the response rate, the COSs called each family of children 2 years, 10 months of age (two months before their actual exit date) for the months of January 2024 through June 2024. Families who were not able to complete the survey by phone were sent a survey by mail. In addition, the EarlySteps regional staff received training on the Family Survey Process and will assist with this regional activity in an effort to increase family participation in those areas across the state that had a lower response rate. </w:t>
      </w:r>
      <w:r w:rsidRPr="00ED172B">
        <w:rPr>
          <w:rFonts w:cs="Arial"/>
          <w:color w:val="000000" w:themeColor="text1"/>
          <w:szCs w:val="16"/>
        </w:rPr>
        <w:br/>
        <w:t>EarlySteps families will be surveyed at every IFSP annual and exit meeting. Surveys will be provided through an online web link, QR code, by mail or by phone. Also, a process will be developed to review all comments and statements from surveys which allow for EarlySteps to be more aware of the families experience with the goal being to improve the quality of the EarlySteps support system.</w:t>
      </w:r>
      <w:r w:rsidRPr="00ED172B">
        <w:rPr>
          <w:rFonts w:cs="Arial"/>
          <w:color w:val="000000" w:themeColor="text1"/>
          <w:szCs w:val="16"/>
        </w:rPr>
        <w:br/>
        <w:t xml:space="preserve"> </w:t>
      </w:r>
    </w:p>
    <w:p w14:paraId="26B1B986" w14:textId="0509FCCD" w:rsidR="003B21F7" w:rsidRPr="003B21F7" w:rsidRDefault="003B21F7" w:rsidP="003B21F7">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14:paraId="2121CE81" w14:textId="3486E3FC" w:rsidR="000F27DB" w:rsidRDefault="003B21F7" w:rsidP="000B4FD4">
      <w:pPr>
        <w:rPr>
          <w:rFonts w:cs="Arial"/>
          <w:b/>
          <w:color w:val="000000" w:themeColor="text1"/>
          <w:szCs w:val="16"/>
        </w:rPr>
      </w:pPr>
      <w:r w:rsidRPr="00ED172B">
        <w:rPr>
          <w:rFonts w:cs="Arial"/>
          <w:color w:val="000000" w:themeColor="text1"/>
          <w:szCs w:val="16"/>
        </w:rPr>
        <w:t xml:space="preserve">As shown in the demographics section which follows, the demographics of the families who responded to the survey closely represent the demographics of the program overall.  EarlySteps has identified that by only providing family surveys in English, although translation services are provided, this may be a barrier to the response rate from families. The response rate increased for this reporting year compared to last year’s reporting. Currently, family </w:t>
      </w:r>
      <w:r w:rsidRPr="00ED172B">
        <w:rPr>
          <w:rFonts w:cs="Arial"/>
          <w:color w:val="000000" w:themeColor="text1"/>
          <w:szCs w:val="16"/>
        </w:rPr>
        <w:lastRenderedPageBreak/>
        <w:t>surveys are given when a child is exiting out of early intervention. In addition to that point in time, family surveys will also be provided to families at annual IFSP meetings.</w:t>
      </w:r>
    </w:p>
    <w:bookmarkEnd w:id="25"/>
    <w:p w14:paraId="38AE52A4" w14:textId="56F41423"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3A3693" w:rsidP="003A3693">
      <w:pPr>
        <w:rPr>
          <w:rFonts w:cs="Arial"/>
          <w:color w:val="000000" w:themeColor="text1"/>
          <w:szCs w:val="16"/>
        </w:rPr>
      </w:pPr>
    </w:p>
    <w:p w14:paraId="1A02BAFD" w14:textId="4A2D5F8A" w:rsidR="00DC0682" w:rsidRPr="00A40EE1" w:rsidRDefault="000D0117" w:rsidP="005C3FFD">
      <w:pPr>
        <w:pStyle w:val="Heading2"/>
      </w:pPr>
      <w:r w:rsidRPr="00A40EE1">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None</w:t>
      </w:r>
    </w:p>
    <w:p w14:paraId="097370A1" w14:textId="77777777" w:rsidR="004C1CEE" w:rsidRPr="00ED172B" w:rsidRDefault="004C1CEE" w:rsidP="00DC0682">
      <w:pPr>
        <w:rPr>
          <w:rFonts w:cs="Arial"/>
          <w:color w:val="000000" w:themeColor="text1"/>
          <w:szCs w:val="16"/>
        </w:rPr>
      </w:pP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DC0682" w:rsidP="00027F39">
      <w:pPr>
        <w:rPr>
          <w:color w:val="000000" w:themeColor="text1"/>
        </w:rPr>
      </w:pPr>
    </w:p>
    <w:p w14:paraId="43FEC740" w14:textId="22A7B19A" w:rsidR="00DC0682" w:rsidRPr="00A40EE1" w:rsidRDefault="000D0117" w:rsidP="005C3FFD">
      <w:pPr>
        <w:pStyle w:val="Heading2"/>
      </w:pPr>
      <w:r w:rsidRPr="00A40EE1">
        <w:t xml:space="preserve">4 - </w:t>
      </w:r>
      <w:r w:rsidR="00DC0682" w:rsidRPr="00A40EE1">
        <w:t>Required Actions</w:t>
      </w:r>
    </w:p>
    <w:p w14:paraId="202EB0B4" w14:textId="1EF7FA87" w:rsidR="00DC0682" w:rsidRPr="00ED172B" w:rsidRDefault="00DC0682" w:rsidP="00027F39">
      <w:pPr>
        <w:rPr>
          <w:color w:val="000000" w:themeColor="text1"/>
        </w:rPr>
      </w:pPr>
    </w:p>
    <w:p w14:paraId="11D8B7F8" w14:textId="77777777" w:rsidR="003D02CD" w:rsidRPr="00ED172B" w:rsidRDefault="003D02CD" w:rsidP="008D619C">
      <w:pPr>
        <w:rPr>
          <w:color w:val="000000" w:themeColor="text1"/>
        </w:rPr>
        <w:sectPr w:rsidR="003D02CD" w:rsidRPr="00ED172B" w:rsidSect="00BF3AB4">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8" w:name="_Toc384383330"/>
      <w:bookmarkStart w:id="29" w:name="_Toc392159282"/>
      <w:bookmarkStart w:id="30" w:name="_Toc382082372"/>
      <w:bookmarkEnd w:id="26"/>
      <w:bookmarkEnd w:id="27"/>
      <w:r w:rsidRPr="00ED172B">
        <w:rPr>
          <w:color w:val="000000" w:themeColor="text1"/>
        </w:rPr>
        <w:lastRenderedPageBreak/>
        <w:t xml:space="preserve">Indicator </w:t>
      </w:r>
      <w:bookmarkEnd w:id="28"/>
      <w:bookmarkEnd w:id="29"/>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31" w:name="_Toc384383331"/>
      <w:bookmarkStart w:id="32"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61FE9E49" w14:textId="4EDA5E34" w:rsidR="00E9116A"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14:paraId="396B779E" w14:textId="7616C132" w:rsidR="00975A3C" w:rsidRPr="00ED172B" w:rsidRDefault="00975A3C" w:rsidP="00815A6D">
      <w:pPr>
        <w:rPr>
          <w:rFonts w:cs="Arial"/>
          <w:color w:val="000000" w:themeColor="text1"/>
          <w:szCs w:val="16"/>
        </w:rPr>
      </w:pP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55373D" w:rsidRDefault="005918D1" w:rsidP="00815A6D">
      <w:pPr>
        <w:rPr>
          <w:rFonts w:cs="Arial"/>
          <w:i/>
          <w:iCs/>
          <w:color w:val="000000" w:themeColor="text1"/>
          <w:szCs w:val="16"/>
        </w:rPr>
      </w:pPr>
      <w:r w:rsidRPr="0055373D">
        <w:rPr>
          <w:rFonts w:cs="Arial"/>
          <w:i/>
          <w:iCs/>
          <w:color w:val="000000" w:themeColor="text1"/>
          <w:szCs w:val="16"/>
        </w:rPr>
        <w:t>Sampling from the State’s 618 data is not allowed.</w:t>
      </w:r>
    </w:p>
    <w:p w14:paraId="3D3A7D60" w14:textId="116796DA" w:rsidR="005918D1" w:rsidRDefault="005918D1" w:rsidP="00815A6D">
      <w:pPr>
        <w:rPr>
          <w:rFonts w:cs="Arial"/>
          <w:color w:val="000000" w:themeColor="text1"/>
          <w:szCs w:val="16"/>
        </w:rPr>
      </w:pPr>
      <w:r w:rsidRPr="00ED172B">
        <w:rPr>
          <w:rFonts w:cs="Arial"/>
          <w:color w:val="000000" w:themeColor="text1"/>
          <w:szCs w:val="16"/>
        </w:rPr>
        <w:t>Describe the results of the calculations. The data reported in this indicator should be consistent with the State’s reported 618 data reported in Table 1. If not, explain why.</w:t>
      </w:r>
    </w:p>
    <w:p w14:paraId="6E1D4582" w14:textId="75A329FF" w:rsidR="000D4875" w:rsidRPr="003461DB" w:rsidRDefault="000D4875" w:rsidP="008E5722">
      <w:pPr>
        <w:rPr>
          <w:rFonts w:cs="Arial"/>
          <w:szCs w:val="16"/>
        </w:rPr>
      </w:pPr>
      <w:r w:rsidRPr="00FE01D6">
        <w:rPr>
          <w:rFonts w:cs="Arial"/>
          <w:szCs w:val="16"/>
        </w:rPr>
        <w:t>The State should conduct a root cause analysis of child find identification rates, including reviewing data (if available) on the number of children referred, evaluated, and identified. This analysis may include examining not only demographic data but also other child-find related data available to the State (e.g., geographic location, family income, primary language, etc.). The State should report the results of this analysis under the “Additional Information” section of this indicator. If the State is required to report on the reasons for slippage, the State must include the results of its analyses under the “Additional Information” section of this indicator.</w:t>
      </w:r>
    </w:p>
    <w:bookmarkEnd w:id="31"/>
    <w:bookmarkEnd w:id="32"/>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33" w:name="_Toc384383332"/>
      <w:bookmarkStart w:id="34"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2013</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1.17%</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2018</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D21F29">
            <w:pPr>
              <w:jc w:val="cente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1.50%</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1.50%</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1.32%</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1.32%</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1.32%</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D21F29">
            <w:pPr>
              <w:jc w:val="cente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1.52%</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1.45%</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1.22%</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1.24%</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1.28%</w:t>
            </w:r>
          </w:p>
        </w:tc>
      </w:tr>
    </w:tbl>
    <w:p w14:paraId="2BD62AC4" w14:textId="77777777" w:rsidR="0085799B" w:rsidRPr="00ED172B" w:rsidRDefault="0085799B">
      <w:pPr>
        <w:rPr>
          <w:b/>
          <w:color w:val="000000" w:themeColor="text1"/>
        </w:rPr>
      </w:pPr>
      <w:r w:rsidRPr="00ED172B">
        <w:rPr>
          <w:b/>
          <w:color w:val="000000" w:themeColor="text1"/>
        </w:rPr>
        <w:t>Targets</w:t>
      </w:r>
    </w:p>
    <w:tbl>
      <w:tblPr>
        <w:tblW w:w="2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TARGETS"/>
      </w:tblPr>
      <w:tblGrid>
        <w:gridCol w:w="897"/>
        <w:gridCol w:w="2206"/>
        <w:gridCol w:w="1549"/>
        <w:gridCol w:w="1548"/>
      </w:tblGrid>
      <w:tr w:rsidR="000A0569" w:rsidRPr="00ED172B" w14:paraId="74AFA9B9" w14:textId="3E825C5D" w:rsidTr="00EC51AB">
        <w:trPr>
          <w:trHeight w:val="116"/>
        </w:trPr>
        <w:tc>
          <w:tcPr>
            <w:tcW w:w="724" w:type="pct"/>
            <w:tcBorders>
              <w:bottom w:val="single" w:sz="4" w:space="0" w:color="auto"/>
            </w:tcBorders>
            <w:shd w:val="clear" w:color="auto" w:fill="auto"/>
          </w:tcPr>
          <w:p w14:paraId="523362FD" w14:textId="77777777" w:rsidR="000A0569" w:rsidRPr="00ED172B" w:rsidRDefault="000A0569" w:rsidP="006B2FE9">
            <w:pPr>
              <w:jc w:val="center"/>
              <w:rPr>
                <w:b/>
                <w:color w:val="000000" w:themeColor="text1"/>
                <w:szCs w:val="16"/>
              </w:rPr>
            </w:pPr>
            <w:r w:rsidRPr="00ED172B">
              <w:rPr>
                <w:b/>
                <w:color w:val="000000" w:themeColor="text1"/>
                <w:szCs w:val="16"/>
              </w:rPr>
              <w:t>FFY</w:t>
            </w:r>
          </w:p>
        </w:tc>
        <w:tc>
          <w:tcPr>
            <w:tcW w:w="1779" w:type="pct"/>
            <w:shd w:val="clear" w:color="auto" w:fill="auto"/>
            <w:vAlign w:val="center"/>
          </w:tcPr>
          <w:p w14:paraId="1869702F" w14:textId="32C21C20" w:rsidR="000A0569" w:rsidRPr="00ED172B" w:rsidRDefault="000A0569" w:rsidP="006B2FE9">
            <w:pPr>
              <w:jc w:val="center"/>
              <w:rPr>
                <w:b/>
                <w:color w:val="000000" w:themeColor="text1"/>
                <w:szCs w:val="16"/>
              </w:rPr>
            </w:pPr>
            <w:r w:rsidRPr="00ED172B">
              <w:rPr>
                <w:rFonts w:cs="Arial"/>
                <w:b/>
                <w:color w:val="000000" w:themeColor="text1"/>
                <w:szCs w:val="16"/>
              </w:rPr>
              <w:t>2023</w:t>
            </w:r>
          </w:p>
        </w:tc>
        <w:tc>
          <w:tcPr>
            <w:tcW w:w="1249" w:type="pct"/>
          </w:tcPr>
          <w:p w14:paraId="1E994EDB" w14:textId="1B6309A9" w:rsidR="000A0569" w:rsidRPr="00ED172B" w:rsidRDefault="000A0569" w:rsidP="006B2FE9">
            <w:pPr>
              <w:jc w:val="center"/>
              <w:rPr>
                <w:rFonts w:cs="Arial"/>
                <w:b/>
                <w:color w:val="000000" w:themeColor="text1"/>
                <w:szCs w:val="16"/>
              </w:rPr>
            </w:pPr>
            <w:r>
              <w:rPr>
                <w:rFonts w:cs="Arial"/>
                <w:b/>
                <w:color w:val="000000" w:themeColor="text1"/>
                <w:szCs w:val="16"/>
              </w:rPr>
              <w:t>2024</w:t>
            </w:r>
          </w:p>
        </w:tc>
        <w:tc>
          <w:tcPr>
            <w:tcW w:w="1248" w:type="pct"/>
          </w:tcPr>
          <w:p w14:paraId="7A72E812" w14:textId="41764C05" w:rsidR="000A0569" w:rsidRPr="00ED172B" w:rsidRDefault="000A0569" w:rsidP="006B2FE9">
            <w:pPr>
              <w:jc w:val="center"/>
              <w:rPr>
                <w:rFonts w:cs="Arial"/>
                <w:b/>
                <w:color w:val="000000" w:themeColor="text1"/>
                <w:szCs w:val="16"/>
              </w:rPr>
            </w:pPr>
            <w:r w:rsidRPr="005A1B4F">
              <w:rPr>
                <w:rFonts w:cs="Arial"/>
                <w:b/>
                <w:color w:val="000000" w:themeColor="text1"/>
                <w:szCs w:val="16"/>
              </w:rPr>
              <w:t>2025</w:t>
            </w:r>
          </w:p>
        </w:tc>
      </w:tr>
      <w:tr w:rsidR="000A0569" w:rsidRPr="00ED172B" w14:paraId="0186A9C7" w14:textId="618C48DC" w:rsidTr="00EC51AB">
        <w:trPr>
          <w:trHeight w:val="47"/>
        </w:trPr>
        <w:tc>
          <w:tcPr>
            <w:tcW w:w="724" w:type="pct"/>
            <w:shd w:val="clear" w:color="auto" w:fill="auto"/>
          </w:tcPr>
          <w:p w14:paraId="120F223C" w14:textId="3DF65C2B" w:rsidR="000A0569" w:rsidRPr="00ED172B" w:rsidRDefault="000A0569" w:rsidP="00D21F29">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779" w:type="pct"/>
            <w:shd w:val="clear" w:color="auto" w:fill="auto"/>
            <w:vAlign w:val="center"/>
          </w:tcPr>
          <w:p w14:paraId="69A10D5E" w14:textId="2F3AB178" w:rsidR="000A0569" w:rsidRPr="00ED172B" w:rsidRDefault="000A0569" w:rsidP="006B2FE9">
            <w:pPr>
              <w:jc w:val="center"/>
              <w:rPr>
                <w:color w:val="000000" w:themeColor="text1"/>
              </w:rPr>
            </w:pPr>
            <w:r w:rsidRPr="00ED172B">
              <w:rPr>
                <w:color w:val="000000" w:themeColor="text1"/>
              </w:rPr>
              <w:t>1.45%</w:t>
            </w:r>
          </w:p>
        </w:tc>
        <w:tc>
          <w:tcPr>
            <w:tcW w:w="1249" w:type="pct"/>
          </w:tcPr>
          <w:p w14:paraId="712AD20E" w14:textId="70001C50" w:rsidR="000A0569" w:rsidRPr="00ED172B" w:rsidRDefault="000A0569" w:rsidP="006B2FE9">
            <w:pPr>
              <w:jc w:val="center"/>
              <w:rPr>
                <w:color w:val="000000" w:themeColor="text1"/>
              </w:rPr>
            </w:pPr>
            <w:r>
              <w:rPr>
                <w:rFonts w:cs="Arial"/>
                <w:color w:val="000000" w:themeColor="text1"/>
                <w:szCs w:val="16"/>
              </w:rPr>
              <w:t>1.45%</w:t>
            </w:r>
          </w:p>
        </w:tc>
        <w:tc>
          <w:tcPr>
            <w:tcW w:w="1248" w:type="pct"/>
          </w:tcPr>
          <w:p w14:paraId="12C95701" w14:textId="02635F0F" w:rsidR="000A0569" w:rsidRPr="00ED172B" w:rsidRDefault="000A0569" w:rsidP="006B2FE9">
            <w:pPr>
              <w:jc w:val="center"/>
              <w:rPr>
                <w:color w:val="000000" w:themeColor="text1"/>
              </w:rPr>
            </w:pPr>
            <w:r w:rsidRPr="005F5F3C">
              <w:rPr>
                <w:rFonts w:cs="Arial"/>
                <w:color w:val="000000" w:themeColor="text1"/>
                <w:szCs w:val="16"/>
              </w:rPr>
              <w:t>1.45%</w:t>
            </w:r>
          </w:p>
        </w:tc>
      </w:tr>
    </w:tbl>
    <w:bookmarkEnd w:id="33"/>
    <w:bookmarkEnd w:id="34"/>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0D1A7E1" w14:textId="184B178A" w:rsidR="00A2772B" w:rsidRPr="00ED172B" w:rsidRDefault="00A2772B" w:rsidP="00F80C9C">
      <w:pPr>
        <w:pStyle w:val="Bold"/>
        <w:rPr>
          <w:b w:val="0"/>
          <w:color w:val="000000" w:themeColor="text1"/>
        </w:rPr>
      </w:pPr>
      <w:r w:rsidRPr="00ED172B">
        <w:rPr>
          <w:rFonts w:cs="Arial"/>
          <w:b w:val="0"/>
          <w:color w:val="000000" w:themeColor="text1"/>
          <w:szCs w:val="16"/>
        </w:rPr>
        <w:t xml:space="preserve">The process for selecting targets for the 2020-2025 reporting period was completed during 2020-21. Stakeholder involvement in the development of data collection and in target setting for Indicator 5 and 6 is described in the Introduction Section of the APR. </w:t>
      </w: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07/31/2024</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834</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2023</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06/25/2024</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55,838</w:t>
            </w:r>
          </w:p>
        </w:tc>
      </w:tr>
    </w:tbl>
    <w:p w14:paraId="10606B16" w14:textId="7F835D2D" w:rsidR="005918D1" w:rsidRPr="00ED172B" w:rsidRDefault="00F22D09">
      <w:pPr>
        <w:rPr>
          <w:b/>
          <w:color w:val="000000" w:themeColor="text1"/>
        </w:rPr>
      </w:pPr>
      <w:r>
        <w:rPr>
          <w:b/>
          <w:color w:val="000000" w:themeColor="text1"/>
        </w:rPr>
        <w:t>FFY 2023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6D9A8DD7" w:rsidR="00967D30" w:rsidRPr="00ED172B" w:rsidRDefault="00CD74B5" w:rsidP="00967D30">
            <w:pPr>
              <w:jc w:val="center"/>
              <w:rPr>
                <w:rFonts w:cs="Arial"/>
                <w:b/>
                <w:color w:val="000000" w:themeColor="text1"/>
                <w:szCs w:val="16"/>
              </w:rPr>
            </w:pPr>
            <w:r>
              <w:rPr>
                <w:rFonts w:cs="Arial"/>
                <w:b/>
                <w:color w:val="000000" w:themeColor="text1"/>
                <w:szCs w:val="16"/>
              </w:rPr>
              <w:t>FFY 2022 Data</w:t>
            </w:r>
          </w:p>
        </w:tc>
        <w:tc>
          <w:tcPr>
            <w:tcW w:w="625" w:type="pct"/>
            <w:shd w:val="clear" w:color="auto" w:fill="auto"/>
            <w:vAlign w:val="bottom"/>
          </w:tcPr>
          <w:p w14:paraId="278F3E66" w14:textId="5D40731B" w:rsidR="00967D30" w:rsidRPr="00ED172B" w:rsidRDefault="00F22D09" w:rsidP="00967D30">
            <w:pPr>
              <w:jc w:val="center"/>
              <w:rPr>
                <w:rFonts w:cs="Arial"/>
                <w:b/>
                <w:color w:val="000000" w:themeColor="text1"/>
                <w:szCs w:val="16"/>
              </w:rPr>
            </w:pPr>
            <w:r>
              <w:rPr>
                <w:rFonts w:cs="Arial"/>
                <w:b/>
                <w:color w:val="000000" w:themeColor="text1"/>
                <w:szCs w:val="16"/>
              </w:rPr>
              <w:t>FFY 2023 Target</w:t>
            </w:r>
          </w:p>
        </w:tc>
        <w:tc>
          <w:tcPr>
            <w:tcW w:w="542" w:type="pct"/>
            <w:shd w:val="clear" w:color="auto" w:fill="auto"/>
            <w:vAlign w:val="bottom"/>
          </w:tcPr>
          <w:p w14:paraId="3D59A48C" w14:textId="0C8CB258" w:rsidR="00967D30" w:rsidRPr="00ED172B" w:rsidRDefault="00F22D09" w:rsidP="00967D30">
            <w:pPr>
              <w:jc w:val="center"/>
              <w:rPr>
                <w:rFonts w:cs="Arial"/>
                <w:b/>
                <w:color w:val="000000" w:themeColor="text1"/>
                <w:szCs w:val="16"/>
              </w:rPr>
            </w:pPr>
            <w:r>
              <w:rPr>
                <w:rFonts w:cs="Arial"/>
                <w:b/>
                <w:color w:val="000000" w:themeColor="text1"/>
                <w:szCs w:val="16"/>
              </w:rPr>
              <w:t>FFY 2023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834</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55,838</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1.28%</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1.45%</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1.49%</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Met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65353B58" w14:textId="0E40A9CD" w:rsidR="000D4875" w:rsidRDefault="000D4875" w:rsidP="003A3693">
      <w:pPr>
        <w:rPr>
          <w:b/>
          <w:bCs/>
        </w:rPr>
      </w:pPr>
      <w:r w:rsidRPr="00977221">
        <w:rPr>
          <w:b/>
          <w:bCs/>
        </w:rPr>
        <w:t>Provide results of the root cause analysis of child find identification rates</w:t>
      </w:r>
      <w:r w:rsidR="00946FA9">
        <w:rPr>
          <w:b/>
          <w:bCs/>
        </w:rPr>
        <w:t>.</w:t>
      </w:r>
    </w:p>
    <w:p w14:paraId="0085FD5B" w14:textId="2C1D6095" w:rsidR="000D4875" w:rsidRPr="005900EB" w:rsidRDefault="000D4875" w:rsidP="003A3693">
      <w:pPr>
        <w:rPr>
          <w:rFonts w:cs="Arial"/>
          <w:color w:val="000000" w:themeColor="text1"/>
          <w:szCs w:val="16"/>
        </w:rPr>
      </w:pPr>
    </w:p>
    <w:p w14:paraId="3CBC9B31" w14:textId="0DFE05E8"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2A9A6EA9" w14:textId="71C8D759" w:rsidR="003A3693" w:rsidRPr="00ED172B" w:rsidRDefault="003A3693" w:rsidP="00632DF6">
      <w:pPr>
        <w:rPr>
          <w:color w:val="000000" w:themeColor="text1"/>
        </w:rPr>
      </w:pPr>
    </w:p>
    <w:p w14:paraId="570F9CF2" w14:textId="73DF43E4" w:rsidR="00DC0682" w:rsidRPr="00A40EE1" w:rsidRDefault="000D0117" w:rsidP="005C3FFD">
      <w:pPr>
        <w:pStyle w:val="Heading2"/>
      </w:pPr>
      <w:r w:rsidRPr="00A40EE1">
        <w:lastRenderedPageBreak/>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DC0682" w:rsidP="00027F39">
      <w:pPr>
        <w:rPr>
          <w:color w:val="000000" w:themeColor="text1"/>
        </w:rPr>
      </w:pP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DC0682" w:rsidP="00027F39">
      <w:pPr>
        <w:rPr>
          <w:color w:val="000000" w:themeColor="text1"/>
        </w:rPr>
      </w:pPr>
    </w:p>
    <w:p w14:paraId="4FD273CC" w14:textId="77777777" w:rsidR="00447F6D" w:rsidRPr="00ED172B" w:rsidRDefault="00447F6D" w:rsidP="00B83404">
      <w:pPr>
        <w:rPr>
          <w:color w:val="000000" w:themeColor="text1"/>
        </w:rPr>
        <w:sectPr w:rsidR="00447F6D" w:rsidRPr="00ED172B" w:rsidSect="00BF3AB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5" w:name="_Toc381956335"/>
      <w:bookmarkStart w:id="36" w:name="_Toc384383336"/>
      <w:bookmarkStart w:id="37" w:name="_Toc392159288"/>
      <w:r w:rsidRPr="00ED172B">
        <w:rPr>
          <w:color w:val="000000" w:themeColor="text1"/>
        </w:rPr>
        <w:lastRenderedPageBreak/>
        <w:t xml:space="preserve">Indicator </w:t>
      </w:r>
      <w:bookmarkEnd w:id="35"/>
      <w:bookmarkEnd w:id="36"/>
      <w:bookmarkEnd w:id="37"/>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6BF01D65" w14:textId="77777777" w:rsidR="00A863D5"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14:paraId="1586FBA4" w14:textId="28ED3B8C" w:rsidR="000C6015" w:rsidRPr="00ED172B" w:rsidRDefault="000C6015" w:rsidP="00B609A4">
      <w:pPr>
        <w:rPr>
          <w:color w:val="000000" w:themeColor="text1"/>
          <w:szCs w:val="16"/>
        </w:rPr>
      </w:pP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55373D" w:rsidRDefault="001C3D0E" w:rsidP="00B609A4">
      <w:pPr>
        <w:rPr>
          <w:i/>
          <w:iCs/>
          <w:color w:val="000000" w:themeColor="text1"/>
          <w:szCs w:val="16"/>
        </w:rPr>
      </w:pPr>
      <w:r w:rsidRPr="0055373D">
        <w:rPr>
          <w:i/>
          <w:iCs/>
          <w:color w:val="000000" w:themeColor="text1"/>
          <w:szCs w:val="16"/>
        </w:rPr>
        <w:t>Sampling from the State’s 618 data is not allowed.</w:t>
      </w:r>
    </w:p>
    <w:p w14:paraId="058CBEAD" w14:textId="568018E6" w:rsidR="001C3D0E" w:rsidRDefault="001C3D0E" w:rsidP="00B609A4">
      <w:pPr>
        <w:rPr>
          <w:color w:val="000000" w:themeColor="text1"/>
          <w:szCs w:val="16"/>
        </w:rPr>
      </w:pPr>
      <w:r w:rsidRPr="00ED172B">
        <w:rPr>
          <w:color w:val="000000" w:themeColor="text1"/>
          <w:szCs w:val="16"/>
        </w:rPr>
        <w:t>Describe the results of the calculations. The data reported in this indicator should be consistent with the State’s reported 618 data reported in Table 1. If not, explain why.</w:t>
      </w:r>
    </w:p>
    <w:p w14:paraId="4B39FAA2" w14:textId="0B481A42" w:rsidR="003643D6" w:rsidRDefault="003643D6" w:rsidP="003643D6">
      <w:pPr>
        <w:rPr>
          <w:szCs w:val="16"/>
        </w:rPr>
      </w:pPr>
      <w:r w:rsidRPr="00FE01D6">
        <w:rPr>
          <w:szCs w:val="16"/>
        </w:rPr>
        <w:t>The State should conduct a root cause analysis of child find identification rates, including reviewing data (if available) on the number of children referred, evaluated, and identified. This analysis may include examining not only demographic data but also other child-find related data available to the State (e.g. geographic location, family income, primary language, etc.). The State should report the results of this analysis under the “Additional Information” section of this indicator. If the State is required to report on the reasons for slippage, the State must include the results of its analysis under the “Additional Information” section of this indicator.</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7FFF69C8" w:rsidR="00C779B5" w:rsidRDefault="000F5FCD" w:rsidP="00C779B5">
      <w:r>
        <w:t>Historical Data</w:t>
      </w:r>
    </w:p>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2005</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1.76%</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8"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2018</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D21F29">
            <w:pPr>
              <w:jc w:val="cente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2.08%</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2.50%</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2.50%</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2.60%</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3.00%</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D21F29">
            <w:pPr>
              <w:jc w:val="cente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3.05%</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3.10%</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2.69%</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3.00%</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3.49%</w:t>
            </w:r>
          </w:p>
        </w:tc>
      </w:tr>
    </w:tbl>
    <w:p w14:paraId="7EEFF1E6" w14:textId="77777777" w:rsidR="00EF4A30" w:rsidRPr="00ED172B" w:rsidRDefault="00EF4A30">
      <w:pPr>
        <w:rPr>
          <w:b/>
          <w:color w:val="000000" w:themeColor="text1"/>
        </w:rPr>
      </w:pPr>
      <w:r w:rsidRPr="00ED172B">
        <w:rPr>
          <w:b/>
          <w:color w:val="000000" w:themeColor="text1"/>
        </w:rPr>
        <w:t>Targets</w:t>
      </w:r>
    </w:p>
    <w:tbl>
      <w:tblPr>
        <w:tblW w:w="2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TARGETS"/>
      </w:tblPr>
      <w:tblGrid>
        <w:gridCol w:w="1540"/>
        <w:gridCol w:w="1542"/>
        <w:gridCol w:w="1542"/>
        <w:gridCol w:w="1541"/>
      </w:tblGrid>
      <w:tr w:rsidR="000A0569" w:rsidRPr="00ED172B" w14:paraId="1D435074" w14:textId="5FE636B7" w:rsidTr="00EC51AB">
        <w:trPr>
          <w:trHeight w:val="277"/>
        </w:trPr>
        <w:tc>
          <w:tcPr>
            <w:tcW w:w="1248" w:type="pct"/>
            <w:tcBorders>
              <w:bottom w:val="single" w:sz="4" w:space="0" w:color="auto"/>
            </w:tcBorders>
            <w:shd w:val="clear" w:color="auto" w:fill="auto"/>
          </w:tcPr>
          <w:p w14:paraId="561FEE47" w14:textId="77777777" w:rsidR="000A0569" w:rsidRPr="00ED172B" w:rsidRDefault="000A0569" w:rsidP="006B2FE9">
            <w:pPr>
              <w:jc w:val="center"/>
              <w:rPr>
                <w:b/>
                <w:color w:val="000000" w:themeColor="text1"/>
                <w:szCs w:val="16"/>
              </w:rPr>
            </w:pPr>
            <w:r w:rsidRPr="00ED172B">
              <w:rPr>
                <w:b/>
                <w:color w:val="000000" w:themeColor="text1"/>
                <w:szCs w:val="16"/>
              </w:rPr>
              <w:t>FFY</w:t>
            </w:r>
          </w:p>
        </w:tc>
        <w:tc>
          <w:tcPr>
            <w:tcW w:w="1250" w:type="pct"/>
            <w:shd w:val="clear" w:color="auto" w:fill="auto"/>
            <w:vAlign w:val="center"/>
          </w:tcPr>
          <w:p w14:paraId="2204FF06" w14:textId="1616FAAA" w:rsidR="000A0569" w:rsidRPr="00ED172B" w:rsidRDefault="000A0569" w:rsidP="006B2FE9">
            <w:pPr>
              <w:jc w:val="center"/>
              <w:rPr>
                <w:b/>
                <w:color w:val="000000" w:themeColor="text1"/>
                <w:szCs w:val="16"/>
              </w:rPr>
            </w:pPr>
            <w:r w:rsidRPr="00ED172B">
              <w:rPr>
                <w:rFonts w:cs="Arial"/>
                <w:b/>
                <w:color w:val="000000" w:themeColor="text1"/>
                <w:szCs w:val="16"/>
              </w:rPr>
              <w:t>2023</w:t>
            </w:r>
          </w:p>
        </w:tc>
        <w:tc>
          <w:tcPr>
            <w:tcW w:w="1251" w:type="pct"/>
          </w:tcPr>
          <w:p w14:paraId="1DCDE632" w14:textId="0D933CB4" w:rsidR="000A0569" w:rsidRPr="00ED172B" w:rsidRDefault="000A0569" w:rsidP="006B2FE9">
            <w:pPr>
              <w:jc w:val="center"/>
              <w:rPr>
                <w:rFonts w:cs="Arial"/>
                <w:b/>
                <w:color w:val="000000" w:themeColor="text1"/>
                <w:szCs w:val="16"/>
              </w:rPr>
            </w:pPr>
            <w:r>
              <w:rPr>
                <w:rFonts w:cs="Arial"/>
                <w:b/>
                <w:color w:val="000000" w:themeColor="text1"/>
                <w:szCs w:val="16"/>
              </w:rPr>
              <w:t>2024</w:t>
            </w:r>
          </w:p>
        </w:tc>
        <w:tc>
          <w:tcPr>
            <w:tcW w:w="1250" w:type="pct"/>
          </w:tcPr>
          <w:p w14:paraId="7F04CC39" w14:textId="648C9051" w:rsidR="000A0569" w:rsidRPr="00ED172B" w:rsidRDefault="000A0569" w:rsidP="006B2FE9">
            <w:pPr>
              <w:jc w:val="center"/>
              <w:rPr>
                <w:rFonts w:cs="Arial"/>
                <w:b/>
                <w:color w:val="000000" w:themeColor="text1"/>
                <w:szCs w:val="16"/>
              </w:rPr>
            </w:pPr>
            <w:r w:rsidRPr="005A1B4F">
              <w:rPr>
                <w:rFonts w:cs="Arial"/>
                <w:b/>
                <w:color w:val="000000" w:themeColor="text1"/>
                <w:szCs w:val="16"/>
              </w:rPr>
              <w:t>2025</w:t>
            </w:r>
          </w:p>
        </w:tc>
      </w:tr>
      <w:tr w:rsidR="000A0569" w:rsidRPr="00ED172B" w14:paraId="43BE8A8B" w14:textId="18ECC93C" w:rsidTr="00EC51AB">
        <w:trPr>
          <w:trHeight w:val="283"/>
        </w:trPr>
        <w:tc>
          <w:tcPr>
            <w:tcW w:w="1248" w:type="pct"/>
            <w:shd w:val="clear" w:color="auto" w:fill="auto"/>
          </w:tcPr>
          <w:p w14:paraId="3A722C96" w14:textId="7558E2BE" w:rsidR="000A0569" w:rsidRPr="00ED172B" w:rsidRDefault="000A0569" w:rsidP="00D21F29">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250" w:type="pct"/>
            <w:shd w:val="clear" w:color="auto" w:fill="auto"/>
            <w:vAlign w:val="center"/>
          </w:tcPr>
          <w:p w14:paraId="4925440B" w14:textId="6DFF86C9" w:rsidR="000A0569" w:rsidRPr="00ED172B" w:rsidRDefault="000A0569" w:rsidP="006B2FE9">
            <w:pPr>
              <w:jc w:val="center"/>
              <w:rPr>
                <w:color w:val="000000" w:themeColor="text1"/>
              </w:rPr>
            </w:pPr>
            <w:r w:rsidRPr="00ED172B">
              <w:rPr>
                <w:color w:val="000000" w:themeColor="text1"/>
              </w:rPr>
              <w:t>3.00%</w:t>
            </w:r>
          </w:p>
        </w:tc>
        <w:tc>
          <w:tcPr>
            <w:tcW w:w="1251" w:type="pct"/>
          </w:tcPr>
          <w:p w14:paraId="4EF0C269" w14:textId="5AFCA64F" w:rsidR="000A0569" w:rsidRPr="00ED172B" w:rsidRDefault="000A0569" w:rsidP="006B2FE9">
            <w:pPr>
              <w:jc w:val="center"/>
              <w:rPr>
                <w:color w:val="000000" w:themeColor="text1"/>
              </w:rPr>
            </w:pPr>
            <w:r>
              <w:rPr>
                <w:rFonts w:cs="Arial"/>
                <w:color w:val="000000" w:themeColor="text1"/>
                <w:szCs w:val="16"/>
              </w:rPr>
              <w:t>3.00%</w:t>
            </w:r>
          </w:p>
        </w:tc>
        <w:tc>
          <w:tcPr>
            <w:tcW w:w="1250" w:type="pct"/>
          </w:tcPr>
          <w:p w14:paraId="055F1828" w14:textId="4AEDF7E7" w:rsidR="000A0569" w:rsidRPr="00ED172B" w:rsidRDefault="000A0569" w:rsidP="006B2FE9">
            <w:pPr>
              <w:jc w:val="center"/>
              <w:rPr>
                <w:color w:val="000000" w:themeColor="text1"/>
              </w:rPr>
            </w:pPr>
            <w:r w:rsidRPr="005F5F3C">
              <w:rPr>
                <w:rFonts w:cs="Arial"/>
                <w:color w:val="000000" w:themeColor="text1"/>
                <w:szCs w:val="16"/>
              </w:rPr>
              <w:t>3.00%</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712D4B5A" w14:textId="60F10C46" w:rsidR="004A1179" w:rsidRPr="00ED172B" w:rsidRDefault="004A1179" w:rsidP="00F80C9C">
      <w:pPr>
        <w:pStyle w:val="Bold"/>
        <w:rPr>
          <w:b w:val="0"/>
          <w:color w:val="000000" w:themeColor="text1"/>
        </w:rPr>
      </w:pPr>
      <w:r w:rsidRPr="00ED172B">
        <w:rPr>
          <w:rFonts w:cs="Arial"/>
          <w:b w:val="0"/>
          <w:color w:val="000000" w:themeColor="text1"/>
          <w:szCs w:val="16"/>
        </w:rPr>
        <w:t>The process for selecting targets for the 2020-2025 reporting period was completed during 2020-21. Stakeholder involvement in the development of data collection and in target setting for Indicator 5 and 6 is described in the Introduction Section of the APR.</w:t>
      </w: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07/31/2024</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6,538</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2023</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06/25/2024</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167,577</w:t>
            </w:r>
          </w:p>
        </w:tc>
      </w:tr>
    </w:tbl>
    <w:p w14:paraId="145EA13A" w14:textId="6D70EA29" w:rsidR="00B609A4" w:rsidRPr="00ED172B" w:rsidRDefault="00F22D09">
      <w:pPr>
        <w:rPr>
          <w:b/>
          <w:color w:val="000000" w:themeColor="text1"/>
        </w:rPr>
      </w:pPr>
      <w:r>
        <w:rPr>
          <w:b/>
          <w:color w:val="000000" w:themeColor="text1"/>
        </w:rPr>
        <w:t>FFY 2023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1FD41604" w:rsidR="00967D30" w:rsidRPr="00ED172B" w:rsidRDefault="00CD74B5" w:rsidP="00967D30">
            <w:pPr>
              <w:jc w:val="center"/>
              <w:rPr>
                <w:rFonts w:cs="Arial"/>
                <w:b/>
                <w:color w:val="000000" w:themeColor="text1"/>
                <w:szCs w:val="16"/>
              </w:rPr>
            </w:pPr>
            <w:r>
              <w:rPr>
                <w:rFonts w:cs="Arial"/>
                <w:b/>
                <w:color w:val="000000" w:themeColor="text1"/>
                <w:szCs w:val="16"/>
              </w:rPr>
              <w:t>FFY 2022 Data</w:t>
            </w:r>
          </w:p>
        </w:tc>
        <w:tc>
          <w:tcPr>
            <w:tcW w:w="584" w:type="pct"/>
            <w:shd w:val="clear" w:color="auto" w:fill="auto"/>
            <w:vAlign w:val="bottom"/>
          </w:tcPr>
          <w:p w14:paraId="16DC2F19" w14:textId="265D5951" w:rsidR="00967D30" w:rsidRPr="00ED172B" w:rsidRDefault="00F22D09" w:rsidP="00967D30">
            <w:pPr>
              <w:jc w:val="center"/>
              <w:rPr>
                <w:rFonts w:cs="Arial"/>
                <w:b/>
                <w:color w:val="000000" w:themeColor="text1"/>
                <w:szCs w:val="16"/>
              </w:rPr>
            </w:pPr>
            <w:r>
              <w:rPr>
                <w:rFonts w:cs="Arial"/>
                <w:b/>
                <w:color w:val="000000" w:themeColor="text1"/>
                <w:szCs w:val="16"/>
              </w:rPr>
              <w:t>FFY 2023 Target</w:t>
            </w:r>
          </w:p>
        </w:tc>
        <w:tc>
          <w:tcPr>
            <w:tcW w:w="583" w:type="pct"/>
            <w:shd w:val="clear" w:color="auto" w:fill="auto"/>
            <w:vAlign w:val="bottom"/>
          </w:tcPr>
          <w:p w14:paraId="18079166" w14:textId="6638454D" w:rsidR="00967D30" w:rsidRPr="00ED172B" w:rsidRDefault="00F22D09" w:rsidP="00967D30">
            <w:pPr>
              <w:jc w:val="center"/>
              <w:rPr>
                <w:rFonts w:cs="Arial"/>
                <w:b/>
                <w:color w:val="000000" w:themeColor="text1"/>
                <w:szCs w:val="16"/>
              </w:rPr>
            </w:pPr>
            <w:r>
              <w:rPr>
                <w:rFonts w:cs="Arial"/>
                <w:b/>
                <w:color w:val="000000" w:themeColor="text1"/>
                <w:szCs w:val="16"/>
              </w:rPr>
              <w:t>FFY 2023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6,538</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167,577</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3.49%</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3.00%</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3.90%</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Met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02CF8883" w14:textId="77777777" w:rsidR="003643D6" w:rsidRPr="009B6E8C" w:rsidRDefault="003643D6" w:rsidP="009B6E8C">
      <w:pPr>
        <w:rPr>
          <w:b/>
          <w:bCs/>
        </w:rPr>
      </w:pPr>
      <w:r w:rsidRPr="009B6E8C">
        <w:rPr>
          <w:b/>
          <w:bCs/>
        </w:rPr>
        <w:t>Provide results of the root cause analysis of child find identification rates</w:t>
      </w:r>
    </w:p>
    <w:p w14:paraId="417C51E8" w14:textId="57E6CC37" w:rsidR="003643D6" w:rsidRPr="009B6E8C" w:rsidRDefault="003643D6" w:rsidP="003A3693">
      <w:pPr>
        <w:rPr>
          <w:rFonts w:cs="Arial"/>
          <w:bCs/>
          <w:color w:val="000000" w:themeColor="text1"/>
          <w:szCs w:val="16"/>
        </w:rPr>
      </w:pPr>
    </w:p>
    <w:p w14:paraId="6FBC07A0" w14:textId="19BEA2E8"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3A3693" w:rsidP="003A3693">
      <w:pPr>
        <w:rPr>
          <w:rFonts w:cs="Arial"/>
          <w:color w:val="000000" w:themeColor="text1"/>
          <w:szCs w:val="16"/>
        </w:rPr>
      </w:pPr>
    </w:p>
    <w:p w14:paraId="38A791C3" w14:textId="149CEBCF" w:rsidR="00DC0682" w:rsidRPr="00A40EE1" w:rsidRDefault="000D0117" w:rsidP="005C3FFD">
      <w:pPr>
        <w:pStyle w:val="Heading2"/>
      </w:pPr>
      <w:r w:rsidRPr="00A40EE1">
        <w:lastRenderedPageBreak/>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DC0682" w:rsidP="00632DF6">
      <w:pPr>
        <w:rPr>
          <w:color w:val="000000" w:themeColor="text1"/>
        </w:rPr>
      </w:pP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DC0682" w:rsidP="00027F39">
      <w:pPr>
        <w:rPr>
          <w:rFonts w:eastAsiaTheme="majorEastAsia" w:cstheme="majorBidi"/>
          <w:b/>
          <w:bCs/>
          <w:color w:val="000000" w:themeColor="text1"/>
          <w:sz w:val="22"/>
          <w:szCs w:val="28"/>
        </w:rPr>
      </w:pPr>
      <w:r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lastRenderedPageBreak/>
        <w:t xml:space="preserve">Indicator </w:t>
      </w:r>
      <w:bookmarkEnd w:id="14"/>
      <w:bookmarkEnd w:id="30"/>
      <w:bookmarkEnd w:id="38"/>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39"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55373D" w:rsidRDefault="001C3D0E" w:rsidP="00B609A4">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36806EAA"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17D96FDF" w:rsidR="001C3D0E" w:rsidRPr="00ED172B" w:rsidRDefault="001C3D0E" w:rsidP="00B609A4">
      <w:pPr>
        <w:rPr>
          <w:color w:val="000000" w:themeColor="text1"/>
          <w:szCs w:val="16"/>
        </w:rPr>
      </w:pPr>
      <w:r w:rsidRPr="00ED172B">
        <w:rPr>
          <w:color w:val="000000" w:themeColor="text1"/>
          <w:szCs w:val="16"/>
        </w:rPr>
        <w:t>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5748BA6D" w:rsidR="001C3D0E"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24865246" w14:textId="77777777" w:rsidR="00C04685" w:rsidRPr="00D3011A" w:rsidRDefault="00C04685" w:rsidP="00C04685">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14:paraId="51C65A33" w14:textId="77777777" w:rsidR="00C04685" w:rsidRPr="00ED172B" w:rsidRDefault="00C04685" w:rsidP="00B609A4">
      <w:pPr>
        <w:rPr>
          <w:color w:val="000000" w:themeColor="text1"/>
          <w:szCs w:val="16"/>
        </w:rPr>
      </w:pPr>
    </w:p>
    <w:bookmarkEnd w:id="39"/>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40" w:name="_Toc382082375"/>
      <w:bookmarkStart w:id="41"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2899"/>
        <w:gridCol w:w="875"/>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95.02%</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705"/>
        <w:gridCol w:w="2018"/>
        <w:gridCol w:w="2018"/>
        <w:gridCol w:w="2018"/>
        <w:gridCol w:w="2018"/>
        <w:gridCol w:w="2013"/>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2021</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7519736B" w14:textId="77777777" w:rsidTr="00A40EE1">
        <w:trPr>
          <w:trHeight w:val="357"/>
        </w:trPr>
        <w:tc>
          <w:tcPr>
            <w:tcW w:w="327" w:type="pct"/>
            <w:shd w:val="clear" w:color="auto" w:fill="auto"/>
          </w:tcPr>
          <w:p w14:paraId="6F4234B7" w14:textId="2FA82786" w:rsidR="00DC0682" w:rsidRPr="00ED172B" w:rsidRDefault="00DC0682" w:rsidP="00D21F29">
            <w:pPr>
              <w:jc w:val="center"/>
              <w:rPr>
                <w:color w:val="000000" w:themeColor="text1"/>
                <w:szCs w:val="16"/>
              </w:rPr>
            </w:pPr>
            <w:r w:rsidRPr="00ED172B">
              <w:rPr>
                <w:color w:val="000000" w:themeColor="text1"/>
                <w:szCs w:val="16"/>
              </w:rPr>
              <w:t>Target</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99.95%</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99.80%</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990C042" w14:textId="77777777" w:rsidR="00DC0682" w:rsidRPr="00ED172B" w:rsidRDefault="00DC0682">
      <w:pPr>
        <w:rPr>
          <w:b/>
          <w:color w:val="000000" w:themeColor="text1"/>
        </w:rPr>
      </w:pPr>
      <w:r w:rsidRPr="00ED172B">
        <w:rPr>
          <w:b/>
          <w:color w:val="000000" w:themeColor="text1"/>
        </w:rPr>
        <w:t>Targets</w:t>
      </w:r>
    </w:p>
    <w:tbl>
      <w:tblPr>
        <w:tblW w:w="3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679"/>
        <w:gridCol w:w="2296"/>
        <w:gridCol w:w="2462"/>
        <w:gridCol w:w="2461"/>
      </w:tblGrid>
      <w:tr w:rsidR="00297FFC" w:rsidRPr="00ED172B" w14:paraId="42B56D41" w14:textId="5E4E59B3" w:rsidTr="00EC51AB">
        <w:trPr>
          <w:trHeight w:val="290"/>
        </w:trPr>
        <w:tc>
          <w:tcPr>
            <w:tcW w:w="408" w:type="pct"/>
            <w:tcBorders>
              <w:bottom w:val="single" w:sz="4" w:space="0" w:color="auto"/>
            </w:tcBorders>
            <w:shd w:val="clear" w:color="auto" w:fill="auto"/>
          </w:tcPr>
          <w:p w14:paraId="312C61F2" w14:textId="77777777" w:rsidR="00297FFC" w:rsidRPr="00ED172B" w:rsidRDefault="00297FFC" w:rsidP="006B2FE9">
            <w:pPr>
              <w:jc w:val="center"/>
              <w:rPr>
                <w:b/>
                <w:color w:val="000000" w:themeColor="text1"/>
                <w:szCs w:val="16"/>
              </w:rPr>
            </w:pPr>
            <w:r w:rsidRPr="00ED172B">
              <w:rPr>
                <w:b/>
                <w:color w:val="000000" w:themeColor="text1"/>
                <w:szCs w:val="16"/>
              </w:rPr>
              <w:t>FFY</w:t>
            </w:r>
          </w:p>
        </w:tc>
        <w:tc>
          <w:tcPr>
            <w:tcW w:w="1461" w:type="pct"/>
            <w:shd w:val="clear" w:color="auto" w:fill="auto"/>
            <w:vAlign w:val="center"/>
          </w:tcPr>
          <w:p w14:paraId="0EB63CB6" w14:textId="5BB5F4E7" w:rsidR="00297FFC" w:rsidRPr="00ED172B" w:rsidRDefault="00297FFC" w:rsidP="006B2FE9">
            <w:pPr>
              <w:jc w:val="center"/>
              <w:rPr>
                <w:b/>
                <w:color w:val="000000" w:themeColor="text1"/>
                <w:szCs w:val="16"/>
              </w:rPr>
            </w:pPr>
            <w:r w:rsidRPr="00ED172B">
              <w:rPr>
                <w:rFonts w:cs="Arial"/>
                <w:b/>
                <w:color w:val="000000" w:themeColor="text1"/>
                <w:szCs w:val="16"/>
              </w:rPr>
              <w:t>2023</w:t>
            </w:r>
          </w:p>
        </w:tc>
        <w:tc>
          <w:tcPr>
            <w:tcW w:w="1566" w:type="pct"/>
          </w:tcPr>
          <w:p w14:paraId="7ED41A5E" w14:textId="7318A542" w:rsidR="00297FFC" w:rsidRPr="00ED172B" w:rsidRDefault="00297FFC" w:rsidP="006B2FE9">
            <w:pPr>
              <w:jc w:val="center"/>
              <w:rPr>
                <w:rFonts w:cs="Arial"/>
                <w:b/>
                <w:color w:val="000000" w:themeColor="text1"/>
                <w:szCs w:val="16"/>
              </w:rPr>
            </w:pPr>
            <w:r>
              <w:rPr>
                <w:rFonts w:cs="Arial"/>
                <w:b/>
                <w:color w:val="000000" w:themeColor="text1"/>
                <w:szCs w:val="16"/>
              </w:rPr>
              <w:t>2024</w:t>
            </w:r>
          </w:p>
        </w:tc>
        <w:tc>
          <w:tcPr>
            <w:tcW w:w="1566" w:type="pct"/>
          </w:tcPr>
          <w:p w14:paraId="2A04747F" w14:textId="1388C632" w:rsidR="00297FFC" w:rsidRPr="00ED172B" w:rsidRDefault="00297FFC" w:rsidP="006B2FE9">
            <w:pPr>
              <w:jc w:val="center"/>
              <w:rPr>
                <w:rFonts w:cs="Arial"/>
                <w:b/>
                <w:color w:val="000000" w:themeColor="text1"/>
                <w:szCs w:val="16"/>
              </w:rPr>
            </w:pPr>
            <w:r w:rsidRPr="005A1B4F">
              <w:rPr>
                <w:rFonts w:cs="Arial"/>
                <w:b/>
                <w:color w:val="000000" w:themeColor="text1"/>
                <w:szCs w:val="16"/>
              </w:rPr>
              <w:t>2025</w:t>
            </w:r>
          </w:p>
        </w:tc>
      </w:tr>
      <w:tr w:rsidR="00297FFC" w:rsidRPr="00ED172B" w14:paraId="20F2223E" w14:textId="133D85CD" w:rsidTr="00EC51AB">
        <w:trPr>
          <w:trHeight w:val="296"/>
        </w:trPr>
        <w:tc>
          <w:tcPr>
            <w:tcW w:w="408" w:type="pct"/>
            <w:shd w:val="clear" w:color="auto" w:fill="auto"/>
          </w:tcPr>
          <w:p w14:paraId="452D2810" w14:textId="77777777" w:rsidR="00297FFC" w:rsidRPr="00ED172B" w:rsidRDefault="00297FFC" w:rsidP="00D21F29">
            <w:pPr>
              <w:jc w:val="center"/>
              <w:rPr>
                <w:color w:val="000000" w:themeColor="text1"/>
                <w:szCs w:val="16"/>
              </w:rPr>
            </w:pPr>
            <w:r w:rsidRPr="00ED172B">
              <w:rPr>
                <w:color w:val="000000" w:themeColor="text1"/>
                <w:szCs w:val="16"/>
              </w:rPr>
              <w:t>Target</w:t>
            </w:r>
          </w:p>
        </w:tc>
        <w:tc>
          <w:tcPr>
            <w:tcW w:w="1461" w:type="pct"/>
            <w:shd w:val="clear" w:color="auto" w:fill="auto"/>
          </w:tcPr>
          <w:p w14:paraId="7066C0AE" w14:textId="42C4A4CE" w:rsidR="00297FFC" w:rsidRPr="00ED172B" w:rsidRDefault="00297FFC" w:rsidP="006B2FE9">
            <w:pPr>
              <w:jc w:val="center"/>
              <w:rPr>
                <w:color w:val="000000" w:themeColor="text1"/>
              </w:rPr>
            </w:pPr>
            <w:r w:rsidRPr="00ED172B">
              <w:rPr>
                <w:color w:val="000000" w:themeColor="text1"/>
              </w:rPr>
              <w:t>100%</w:t>
            </w:r>
          </w:p>
        </w:tc>
        <w:tc>
          <w:tcPr>
            <w:tcW w:w="1566" w:type="pct"/>
          </w:tcPr>
          <w:p w14:paraId="3A42CBDC" w14:textId="4C7BA2D0" w:rsidR="00297FFC" w:rsidRPr="00ED172B" w:rsidRDefault="00297FFC" w:rsidP="006B2FE9">
            <w:pPr>
              <w:jc w:val="center"/>
              <w:rPr>
                <w:color w:val="000000" w:themeColor="text1"/>
              </w:rPr>
            </w:pPr>
            <w:r>
              <w:rPr>
                <w:rFonts w:cs="Arial"/>
                <w:color w:val="000000" w:themeColor="text1"/>
                <w:szCs w:val="16"/>
              </w:rPr>
              <w:t>100%</w:t>
            </w:r>
          </w:p>
        </w:tc>
        <w:tc>
          <w:tcPr>
            <w:tcW w:w="1566" w:type="pct"/>
          </w:tcPr>
          <w:p w14:paraId="2F938E37" w14:textId="464506A5" w:rsidR="00297FFC" w:rsidRPr="00ED172B" w:rsidRDefault="00297FFC" w:rsidP="006B2FE9">
            <w:pPr>
              <w:jc w:val="center"/>
              <w:rPr>
                <w:color w:val="000000" w:themeColor="text1"/>
              </w:rPr>
            </w:pPr>
            <w:r w:rsidRPr="005F5F3C">
              <w:rPr>
                <w:rFonts w:cs="Arial"/>
                <w:color w:val="000000" w:themeColor="text1"/>
                <w:szCs w:val="16"/>
              </w:rPr>
              <w:t>100%</w:t>
            </w:r>
          </w:p>
        </w:tc>
      </w:tr>
    </w:tbl>
    <w:p w14:paraId="61F72181" w14:textId="17D265F4" w:rsidR="001C3D0E" w:rsidRPr="00ED172B" w:rsidRDefault="00F22D09">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7D9DFAF5" w:rsidR="008872E7" w:rsidRPr="00ED172B" w:rsidRDefault="00CD74B5" w:rsidP="008872E7">
            <w:pPr>
              <w:jc w:val="center"/>
              <w:rPr>
                <w:b/>
                <w:color w:val="000000" w:themeColor="text1"/>
                <w:szCs w:val="16"/>
              </w:rPr>
            </w:pPr>
            <w:r>
              <w:rPr>
                <w:rFonts w:cs="Arial"/>
                <w:b/>
                <w:color w:val="000000" w:themeColor="text1"/>
                <w:szCs w:val="16"/>
              </w:rPr>
              <w:t>FFY 2022 Data</w:t>
            </w:r>
          </w:p>
        </w:tc>
        <w:tc>
          <w:tcPr>
            <w:tcW w:w="626" w:type="pct"/>
            <w:shd w:val="clear" w:color="auto" w:fill="auto"/>
            <w:vAlign w:val="bottom"/>
          </w:tcPr>
          <w:p w14:paraId="02F56F6D" w14:textId="30B1877C" w:rsidR="008872E7" w:rsidRPr="00ED172B" w:rsidRDefault="00F22D09" w:rsidP="008872E7">
            <w:pPr>
              <w:jc w:val="center"/>
              <w:rPr>
                <w:b/>
                <w:color w:val="000000" w:themeColor="text1"/>
                <w:szCs w:val="16"/>
              </w:rPr>
            </w:pPr>
            <w:r>
              <w:rPr>
                <w:rFonts w:cs="Arial"/>
                <w:b/>
                <w:color w:val="000000" w:themeColor="text1"/>
                <w:szCs w:val="16"/>
              </w:rPr>
              <w:t>FFY 2023 Target</w:t>
            </w:r>
          </w:p>
        </w:tc>
        <w:tc>
          <w:tcPr>
            <w:tcW w:w="584" w:type="pct"/>
            <w:shd w:val="clear" w:color="auto" w:fill="auto"/>
            <w:vAlign w:val="bottom"/>
          </w:tcPr>
          <w:p w14:paraId="43BEDF85" w14:textId="25A76AE7" w:rsidR="008872E7" w:rsidRPr="00ED172B" w:rsidRDefault="00F22D09" w:rsidP="008872E7">
            <w:pPr>
              <w:jc w:val="center"/>
              <w:rPr>
                <w:b/>
                <w:color w:val="000000" w:themeColor="text1"/>
                <w:szCs w:val="16"/>
              </w:rPr>
            </w:pPr>
            <w:r>
              <w:rPr>
                <w:rFonts w:cs="Arial"/>
                <w:b/>
                <w:color w:val="000000" w:themeColor="text1"/>
                <w:szCs w:val="16"/>
              </w:rPr>
              <w:t>FFY 2023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5,478</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5,575</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100.00%</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99.34%</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Did not meet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No Slippage</w:t>
            </w:r>
          </w:p>
        </w:tc>
      </w:tr>
    </w:tbl>
    <w:p w14:paraId="23726145" w14:textId="77777777" w:rsidR="00293B59" w:rsidRPr="00ED172B" w:rsidRDefault="00293B59" w:rsidP="00293B59">
      <w:pPr>
        <w:rPr>
          <w:color w:val="000000" w:themeColor="text1"/>
          <w:szCs w:val="16"/>
        </w:rPr>
      </w:pPr>
      <w:r w:rsidRPr="00ED172B">
        <w:rPr>
          <w:b/>
          <w:color w:val="000000" w:themeColor="text1"/>
          <w:szCs w:val="16"/>
        </w:rPr>
        <w:lastRenderedPageBreak/>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6715968D" w:rsidR="00293B59" w:rsidRDefault="00293B59" w:rsidP="00293B59">
      <w:pPr>
        <w:rPr>
          <w:color w:val="000000" w:themeColor="text1"/>
          <w:szCs w:val="16"/>
        </w:rPr>
      </w:pPr>
      <w:r w:rsidRPr="00ED172B">
        <w:rPr>
          <w:color w:val="000000" w:themeColor="text1"/>
          <w:szCs w:val="16"/>
        </w:rPr>
        <w:t>60</w:t>
      </w:r>
    </w:p>
    <w:p w14:paraId="4CC17C51" w14:textId="77777777" w:rsidR="003739C5" w:rsidRDefault="003739C5" w:rsidP="003739C5">
      <w:pPr>
        <w:rPr>
          <w:rFonts w:cs="Arial"/>
          <w:b/>
          <w:color w:val="000000" w:themeColor="text1"/>
          <w:szCs w:val="16"/>
        </w:rPr>
      </w:pPr>
      <w:r w:rsidRPr="003739C5">
        <w:rPr>
          <w:rFonts w:cs="Arial"/>
          <w:b/>
          <w:color w:val="000000" w:themeColor="text1"/>
          <w:szCs w:val="16"/>
        </w:rPr>
        <w:t>Provide reasons for delay, if applicable.</w:t>
      </w:r>
    </w:p>
    <w:p w14:paraId="35CB1EC5" w14:textId="07FB7420" w:rsidR="003739C5" w:rsidRPr="00ED172B" w:rsidRDefault="003739C5" w:rsidP="003739C5">
      <w:pPr>
        <w:rPr>
          <w:rFonts w:cs="Arial"/>
          <w:color w:val="000000" w:themeColor="text1"/>
          <w:szCs w:val="16"/>
        </w:rPr>
      </w:pPr>
      <w:r w:rsidRPr="00ED172B">
        <w:rPr>
          <w:color w:val="000000" w:themeColor="text1"/>
          <w:szCs w:val="16"/>
        </w:rPr>
        <w:t>Analysis of the reasons for untimely evaluations, assessments and initial IFSPs indicates that 60 IFSPs were late due to due to exceptional family circumstances such as child’s illness or hospitalization, response time by the family and /or family request.  37 IFSPs were late due to system reasons. Increased referrals and staff shortages at our System Point of Entry offices contributed to system delays.</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The EIDS report, 45-Day Referral to IFSP Timeline, produced a list of every initial IFSP written during the fiscal year July 1, 2023 – Jun 30, 2024.</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Data used for this indicator was the full reporting period July 1, 2023 - June 30. 2024. The EIDS report, 45-Day Referral to IFSP Timeline, was used to collect and analyze data for Indicator 7. This report generates a list of every initial IFSP written during the reporting period. This EIDS report also provides the reasons for IFSP delays based on reasons indicated by System Point of Entry SPOE staff. The system calculates the number of days from referral to IFSP based upon the referral dates entered. Analysis of the reasons for untimely due to exceptional family circumstances such as child’s illness or hospitalization, response time by the family and /or family request are verified by EarlySteps Part C Staff by reviewing documentation.</w:t>
      </w:r>
    </w:p>
    <w:p w14:paraId="239AE944" w14:textId="7F02781E" w:rsidR="003A3693" w:rsidRPr="00ED172B" w:rsidRDefault="003A3693" w:rsidP="003A3693">
      <w:pPr>
        <w:rPr>
          <w:rFonts w:cs="Arial"/>
          <w:b/>
          <w:color w:val="000000" w:themeColor="text1"/>
          <w:szCs w:val="16"/>
        </w:rPr>
      </w:pPr>
      <w:bookmarkStart w:id="42" w:name="_Toc386209666"/>
      <w:bookmarkStart w:id="43" w:name="_Toc392159299"/>
      <w:bookmarkEnd w:id="40"/>
      <w:bookmarkEnd w:id="41"/>
      <w:r w:rsidRPr="00ED172B">
        <w:rPr>
          <w:rFonts w:cs="Arial"/>
          <w:b/>
          <w:color w:val="000000" w:themeColor="text1"/>
          <w:szCs w:val="16"/>
        </w:rPr>
        <w:t>Provide additional information about this indicator (optional).</w:t>
      </w:r>
    </w:p>
    <w:p w14:paraId="08F3AB46" w14:textId="3AE7E453" w:rsidR="003A3693" w:rsidRPr="00ED172B" w:rsidRDefault="003A3693" w:rsidP="003A3693">
      <w:pPr>
        <w:rPr>
          <w:rFonts w:cs="Arial"/>
          <w:color w:val="000000" w:themeColor="text1"/>
          <w:szCs w:val="16"/>
        </w:rPr>
      </w:pPr>
    </w:p>
    <w:p w14:paraId="78CA7AEE" w14:textId="068E79CE" w:rsidR="008203B4" w:rsidRPr="00ED172B" w:rsidRDefault="008203B4"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86" w:type="pct"/>
            <w:shd w:val="clear" w:color="auto" w:fill="auto"/>
          </w:tcPr>
          <w:p w14:paraId="6713A327" w14:textId="087EB1ED" w:rsidR="008203B4" w:rsidRPr="00ED172B" w:rsidRDefault="008203B4" w:rsidP="00186420">
            <w:pPr>
              <w:jc w:val="center"/>
              <w:rPr>
                <w:rFonts w:cs="Arial"/>
                <w:color w:val="000000" w:themeColor="text1"/>
                <w:szCs w:val="16"/>
              </w:rPr>
            </w:pPr>
          </w:p>
        </w:tc>
        <w:tc>
          <w:tcPr>
            <w:tcW w:w="1229" w:type="pct"/>
            <w:shd w:val="clear" w:color="auto" w:fill="auto"/>
          </w:tcPr>
          <w:p w14:paraId="7767046D" w14:textId="6877FBBE" w:rsidR="008203B4" w:rsidRPr="00ED172B" w:rsidRDefault="008203B4" w:rsidP="00186420">
            <w:pPr>
              <w:jc w:val="center"/>
              <w:rPr>
                <w:rFonts w:cs="Arial"/>
                <w:color w:val="000000" w:themeColor="text1"/>
                <w:szCs w:val="16"/>
              </w:rPr>
            </w:pP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32FC1C4C" w14:textId="0D0AAB99" w:rsidR="008203B4" w:rsidRPr="00ED172B" w:rsidRDefault="008203B4"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6D65CAA8"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203B4" w:rsidP="00D21F29">
            <w:pPr>
              <w:jc w:val="center"/>
              <w:rPr>
                <w:rFonts w:cs="Arial"/>
                <w:color w:val="000000" w:themeColor="text1"/>
                <w:szCs w:val="16"/>
              </w:rPr>
            </w:pPr>
          </w:p>
        </w:tc>
        <w:tc>
          <w:tcPr>
            <w:tcW w:w="1399" w:type="pct"/>
            <w:shd w:val="clear" w:color="auto" w:fill="auto"/>
          </w:tcPr>
          <w:p w14:paraId="586EEE14" w14:textId="68B417D1" w:rsidR="008203B4" w:rsidRPr="00ED172B" w:rsidRDefault="008203B4" w:rsidP="00CD79C5">
            <w:pPr>
              <w:jc w:val="center"/>
              <w:rPr>
                <w:rFonts w:cs="Arial"/>
                <w:noProof/>
                <w:color w:val="000000" w:themeColor="text1"/>
                <w:szCs w:val="16"/>
              </w:rPr>
            </w:pPr>
          </w:p>
        </w:tc>
        <w:tc>
          <w:tcPr>
            <w:tcW w:w="1394" w:type="pct"/>
            <w:shd w:val="clear" w:color="auto" w:fill="auto"/>
          </w:tcPr>
          <w:p w14:paraId="32B05EFE" w14:textId="5D65EE73" w:rsidR="008203B4" w:rsidRPr="00ED172B" w:rsidRDefault="008203B4" w:rsidP="00CD79C5">
            <w:pPr>
              <w:jc w:val="center"/>
              <w:rPr>
                <w:rFonts w:cs="Arial"/>
                <w:noProof/>
                <w:color w:val="000000" w:themeColor="text1"/>
                <w:szCs w:val="16"/>
              </w:rPr>
            </w:pPr>
          </w:p>
        </w:tc>
        <w:tc>
          <w:tcPr>
            <w:tcW w:w="1307" w:type="pct"/>
            <w:shd w:val="clear" w:color="auto" w:fill="auto"/>
          </w:tcPr>
          <w:p w14:paraId="3338F511" w14:textId="15EAC72F" w:rsidR="008203B4" w:rsidRPr="00ED172B" w:rsidRDefault="008203B4" w:rsidP="00CD79C5">
            <w:pPr>
              <w:jc w:val="center"/>
              <w:rPr>
                <w:rFonts w:cs="Arial"/>
                <w:noProof/>
                <w:color w:val="000000" w:themeColor="text1"/>
                <w:szCs w:val="16"/>
              </w:rPr>
            </w:pPr>
          </w:p>
        </w:tc>
      </w:tr>
      <w:tr w:rsidR="00ED172B" w:rsidRPr="00ED172B" w14:paraId="744B3351" w14:textId="77777777" w:rsidTr="00986B99">
        <w:tc>
          <w:tcPr>
            <w:tcW w:w="899" w:type="pct"/>
            <w:shd w:val="clear" w:color="auto" w:fill="auto"/>
          </w:tcPr>
          <w:p w14:paraId="43DF4A1D" w14:textId="629DD993" w:rsidR="008203B4" w:rsidRPr="00ED172B" w:rsidRDefault="008203B4" w:rsidP="00D21F29">
            <w:pPr>
              <w:jc w:val="center"/>
              <w:rPr>
                <w:rFonts w:cs="Arial"/>
                <w:color w:val="000000" w:themeColor="text1"/>
                <w:szCs w:val="16"/>
              </w:rPr>
            </w:pPr>
          </w:p>
        </w:tc>
        <w:tc>
          <w:tcPr>
            <w:tcW w:w="1399" w:type="pct"/>
            <w:shd w:val="clear" w:color="auto" w:fill="auto"/>
          </w:tcPr>
          <w:p w14:paraId="682B1AF7" w14:textId="04856098" w:rsidR="008203B4" w:rsidRPr="00ED172B" w:rsidRDefault="008203B4" w:rsidP="00CD79C5">
            <w:pPr>
              <w:jc w:val="center"/>
              <w:rPr>
                <w:rFonts w:cs="Arial"/>
                <w:noProof/>
                <w:color w:val="000000" w:themeColor="text1"/>
                <w:szCs w:val="16"/>
              </w:rPr>
            </w:pPr>
          </w:p>
        </w:tc>
        <w:tc>
          <w:tcPr>
            <w:tcW w:w="1394" w:type="pct"/>
            <w:shd w:val="clear" w:color="auto" w:fill="auto"/>
          </w:tcPr>
          <w:p w14:paraId="58B66D2A" w14:textId="5E2142F5" w:rsidR="008203B4" w:rsidRPr="00ED172B" w:rsidRDefault="008203B4" w:rsidP="00CD79C5">
            <w:pPr>
              <w:jc w:val="center"/>
              <w:rPr>
                <w:rFonts w:cs="Arial"/>
                <w:noProof/>
                <w:color w:val="000000" w:themeColor="text1"/>
                <w:szCs w:val="16"/>
              </w:rPr>
            </w:pPr>
          </w:p>
        </w:tc>
        <w:tc>
          <w:tcPr>
            <w:tcW w:w="1307" w:type="pct"/>
            <w:shd w:val="clear" w:color="auto" w:fill="auto"/>
          </w:tcPr>
          <w:p w14:paraId="6986D2A0" w14:textId="0E05F3E2" w:rsidR="008203B4" w:rsidRPr="00ED172B" w:rsidRDefault="008203B4" w:rsidP="00CD79C5">
            <w:pPr>
              <w:jc w:val="center"/>
              <w:rPr>
                <w:rFonts w:cs="Arial"/>
                <w:noProof/>
                <w:color w:val="000000" w:themeColor="text1"/>
                <w:szCs w:val="16"/>
              </w:rPr>
            </w:pPr>
          </w:p>
        </w:tc>
      </w:tr>
      <w:tr w:rsidR="00ED172B" w:rsidRPr="00ED172B" w14:paraId="62EEE336" w14:textId="77777777" w:rsidTr="00986B99">
        <w:tc>
          <w:tcPr>
            <w:tcW w:w="899" w:type="pct"/>
            <w:shd w:val="clear" w:color="auto" w:fill="auto"/>
          </w:tcPr>
          <w:p w14:paraId="03FC998C" w14:textId="17CC0145" w:rsidR="008203B4" w:rsidRPr="00ED172B" w:rsidRDefault="008203B4" w:rsidP="00D21F29">
            <w:pPr>
              <w:jc w:val="center"/>
              <w:rPr>
                <w:rFonts w:cs="Arial"/>
                <w:color w:val="000000" w:themeColor="text1"/>
                <w:szCs w:val="16"/>
              </w:rPr>
            </w:pPr>
          </w:p>
        </w:tc>
        <w:tc>
          <w:tcPr>
            <w:tcW w:w="1399" w:type="pct"/>
            <w:shd w:val="clear" w:color="auto" w:fill="auto"/>
          </w:tcPr>
          <w:p w14:paraId="0C9B51BA" w14:textId="69C64714" w:rsidR="008203B4" w:rsidRPr="00ED172B" w:rsidRDefault="008203B4" w:rsidP="00CD79C5">
            <w:pPr>
              <w:jc w:val="center"/>
              <w:rPr>
                <w:rFonts w:cs="Arial"/>
                <w:noProof/>
                <w:color w:val="000000" w:themeColor="text1"/>
                <w:szCs w:val="16"/>
              </w:rPr>
            </w:pPr>
          </w:p>
        </w:tc>
        <w:tc>
          <w:tcPr>
            <w:tcW w:w="1394" w:type="pct"/>
            <w:shd w:val="clear" w:color="auto" w:fill="auto"/>
          </w:tcPr>
          <w:p w14:paraId="3D9AF315" w14:textId="35A24922" w:rsidR="008203B4" w:rsidRPr="00ED172B" w:rsidRDefault="008203B4" w:rsidP="00CD79C5">
            <w:pPr>
              <w:jc w:val="center"/>
              <w:rPr>
                <w:rFonts w:cs="Arial"/>
                <w:noProof/>
                <w:color w:val="000000" w:themeColor="text1"/>
                <w:szCs w:val="16"/>
              </w:rPr>
            </w:pPr>
          </w:p>
        </w:tc>
        <w:tc>
          <w:tcPr>
            <w:tcW w:w="1307" w:type="pct"/>
            <w:shd w:val="clear" w:color="auto" w:fill="auto"/>
          </w:tcPr>
          <w:p w14:paraId="7C6C5467" w14:textId="7AD30721" w:rsidR="008203B4" w:rsidRPr="00ED172B" w:rsidRDefault="008203B4" w:rsidP="00CD79C5">
            <w:pPr>
              <w:jc w:val="center"/>
              <w:rPr>
                <w:rFonts w:cs="Arial"/>
                <w:noProof/>
                <w:color w:val="000000" w:themeColor="text1"/>
                <w:szCs w:val="16"/>
              </w:rPr>
            </w:pPr>
          </w:p>
        </w:tc>
      </w:tr>
      <w:tr w:rsidR="00DE328D" w:rsidRPr="00ED172B" w14:paraId="37EAC70D" w14:textId="77777777" w:rsidTr="00986B99">
        <w:tc>
          <w:tcPr>
            <w:tcW w:w="899" w:type="pct"/>
            <w:shd w:val="clear" w:color="auto" w:fill="auto"/>
          </w:tcPr>
          <w:p w14:paraId="6C4A41C4" w14:textId="01E82ED5" w:rsidR="00DE328D" w:rsidRPr="00ED172B" w:rsidRDefault="00DE328D" w:rsidP="00D21F29">
            <w:pPr>
              <w:jc w:val="center"/>
              <w:rPr>
                <w:rFonts w:cs="Arial"/>
                <w:color w:val="000000" w:themeColor="text1"/>
                <w:szCs w:val="16"/>
              </w:rPr>
            </w:pPr>
          </w:p>
        </w:tc>
        <w:tc>
          <w:tcPr>
            <w:tcW w:w="1399" w:type="pct"/>
            <w:shd w:val="clear" w:color="auto" w:fill="auto"/>
          </w:tcPr>
          <w:p w14:paraId="77C9F595" w14:textId="34715600" w:rsidR="00DE328D" w:rsidRPr="00ED172B" w:rsidRDefault="00DE328D" w:rsidP="00DE328D">
            <w:pPr>
              <w:jc w:val="center"/>
              <w:rPr>
                <w:rFonts w:cs="Arial"/>
                <w:color w:val="000000" w:themeColor="text1"/>
                <w:szCs w:val="16"/>
              </w:rPr>
            </w:pPr>
          </w:p>
        </w:tc>
        <w:tc>
          <w:tcPr>
            <w:tcW w:w="1394" w:type="pct"/>
            <w:shd w:val="clear" w:color="auto" w:fill="auto"/>
          </w:tcPr>
          <w:p w14:paraId="19DF5F39" w14:textId="56F991D4" w:rsidR="00DE328D" w:rsidRPr="00ED172B" w:rsidRDefault="00DE328D" w:rsidP="00DE328D">
            <w:pPr>
              <w:jc w:val="center"/>
              <w:rPr>
                <w:rFonts w:cs="Arial"/>
                <w:color w:val="000000" w:themeColor="text1"/>
                <w:szCs w:val="16"/>
              </w:rPr>
            </w:pPr>
          </w:p>
        </w:tc>
        <w:tc>
          <w:tcPr>
            <w:tcW w:w="1307" w:type="pct"/>
            <w:shd w:val="clear" w:color="auto" w:fill="auto"/>
          </w:tcPr>
          <w:p w14:paraId="2954DE8E" w14:textId="1B7BB7AE" w:rsidR="00DE328D" w:rsidRPr="00ED172B" w:rsidRDefault="00DE328D" w:rsidP="00DE328D">
            <w:pPr>
              <w:jc w:val="center"/>
              <w:rPr>
                <w:rFonts w:cs="Arial"/>
                <w:color w:val="000000" w:themeColor="text1"/>
                <w:szCs w:val="16"/>
              </w:rPr>
            </w:pPr>
          </w:p>
        </w:tc>
      </w:tr>
      <w:tr w:rsidR="00DE328D" w:rsidRPr="00ED172B" w14:paraId="3205E0F1" w14:textId="77777777" w:rsidTr="00986B99">
        <w:tc>
          <w:tcPr>
            <w:tcW w:w="899" w:type="pct"/>
            <w:shd w:val="clear" w:color="auto" w:fill="auto"/>
          </w:tcPr>
          <w:p w14:paraId="304EA88F" w14:textId="5291E613" w:rsidR="00DE328D" w:rsidRPr="00ED172B" w:rsidRDefault="00DE328D" w:rsidP="00D21F29">
            <w:pPr>
              <w:jc w:val="center"/>
              <w:rPr>
                <w:rFonts w:cs="Arial"/>
                <w:color w:val="000000" w:themeColor="text1"/>
                <w:szCs w:val="16"/>
              </w:rPr>
            </w:pPr>
          </w:p>
        </w:tc>
        <w:tc>
          <w:tcPr>
            <w:tcW w:w="1399" w:type="pct"/>
            <w:shd w:val="clear" w:color="auto" w:fill="auto"/>
          </w:tcPr>
          <w:p w14:paraId="54A53497" w14:textId="232A2A7D" w:rsidR="00DE328D" w:rsidRPr="00ED172B" w:rsidRDefault="00DE328D" w:rsidP="00DE328D">
            <w:pPr>
              <w:jc w:val="center"/>
              <w:rPr>
                <w:rFonts w:cs="Arial"/>
                <w:color w:val="000000" w:themeColor="text1"/>
                <w:szCs w:val="16"/>
              </w:rPr>
            </w:pPr>
          </w:p>
        </w:tc>
        <w:tc>
          <w:tcPr>
            <w:tcW w:w="1394" w:type="pct"/>
            <w:shd w:val="clear" w:color="auto" w:fill="auto"/>
          </w:tcPr>
          <w:p w14:paraId="60DF5900" w14:textId="7E0E7098" w:rsidR="00DE328D" w:rsidRPr="00ED172B" w:rsidRDefault="00DE328D" w:rsidP="00DE328D">
            <w:pPr>
              <w:jc w:val="center"/>
              <w:rPr>
                <w:rFonts w:cs="Arial"/>
                <w:color w:val="000000" w:themeColor="text1"/>
                <w:szCs w:val="16"/>
              </w:rPr>
            </w:pPr>
          </w:p>
        </w:tc>
        <w:tc>
          <w:tcPr>
            <w:tcW w:w="1307" w:type="pct"/>
            <w:shd w:val="clear" w:color="auto" w:fill="auto"/>
          </w:tcPr>
          <w:p w14:paraId="73662E29" w14:textId="2A7774EF" w:rsidR="00DE328D" w:rsidRPr="00ED172B" w:rsidRDefault="00DE328D" w:rsidP="00DE328D">
            <w:pPr>
              <w:jc w:val="center"/>
              <w:rPr>
                <w:rFonts w:cs="Arial"/>
                <w:color w:val="000000" w:themeColor="text1"/>
                <w:szCs w:val="16"/>
              </w:rPr>
            </w:pPr>
          </w:p>
        </w:tc>
      </w:tr>
    </w:tbl>
    <w:p w14:paraId="0F22F40D" w14:textId="77777777" w:rsidR="00DE328D" w:rsidRPr="00ED172B" w:rsidRDefault="00DE328D">
      <w:pPr>
        <w:rPr>
          <w:color w:val="000000" w:themeColor="text1"/>
        </w:rPr>
      </w:pPr>
    </w:p>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None</w:t>
      </w: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8203B4" w:rsidP="00320806">
      <w:pPr>
        <w:rPr>
          <w:color w:val="000000" w:themeColor="text1"/>
        </w:rPr>
      </w:pPr>
    </w:p>
    <w:p w14:paraId="7B429480" w14:textId="6D8920D4" w:rsidR="008203B4" w:rsidRPr="00A40EE1" w:rsidRDefault="000D0117" w:rsidP="005C3FFD">
      <w:pPr>
        <w:pStyle w:val="Heading2"/>
      </w:pPr>
      <w:r w:rsidRPr="00A40EE1">
        <w:t xml:space="preserve">7 - </w:t>
      </w:r>
      <w:r w:rsidR="008203B4" w:rsidRPr="00A40EE1">
        <w:t>Required Actions</w:t>
      </w:r>
    </w:p>
    <w:p w14:paraId="4447E571" w14:textId="48263EDF" w:rsidR="008203B4" w:rsidRPr="00ED172B" w:rsidRDefault="00320806" w:rsidP="00320806">
      <w:pPr>
        <w:rPr>
          <w:color w:val="000000" w:themeColor="text1"/>
        </w:rPr>
      </w:pPr>
      <w:r w:rsidRPr="00ED172B">
        <w:rPr>
          <w:color w:val="000000" w:themeColor="text1"/>
        </w:rPr>
        <w:t xml:space="preserve">Because the State reported less than 100% compliance for FFY 2023, the State must report on the status of correction of noncompliance identified in FFY 2023 for this indicator. When reporting on the correction of noncompliance, the State must report, in the FFY 2024 SPP/APR, that it has verified that each EIS program or provider with noncompliance identified in FFY 2023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and no outstanding corrective action exists under a State complaint or due process hearing decision for the child, consistent with OSEP QA 23-01. In the FFY 2024 SPP/APR, the State must describe the specific actions that were taken to verify the correction. If the State did not identify any findings of noncompliance in FFY 2023, although its FFY 2023 data reflect less than 100% compliance, provide an explanation of why the State did not identify any findings of noncompliance in FFY 2023. If the State did not issue any findings because it has adopted procedures that permit its EIS programs/providers to correct noncompliance prior to the State's issuance of a finding (i.e., pre-finding correction), the explanation must include how the State verified, prior to issuing a finding, that the EIS program/provider has corrected each individual case of child-specific noncompliance and is correctly implementing the specific regulatory requirements. </w:t>
      </w: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lastRenderedPageBreak/>
        <w:t>Indicator 8A: Early Childhood Transition</w:t>
      </w:r>
      <w:bookmarkEnd w:id="42"/>
    </w:p>
    <w:p w14:paraId="530F89E6" w14:textId="77777777" w:rsidR="00F51610" w:rsidRPr="00ED172B" w:rsidRDefault="00F51610" w:rsidP="00186420">
      <w:pPr>
        <w:rPr>
          <w:color w:val="000000" w:themeColor="text1"/>
          <w:szCs w:val="20"/>
        </w:rPr>
      </w:pPr>
      <w:bookmarkStart w:id="44"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5" w:name="_Hlk25310256"/>
      <w:r w:rsidR="00616172" w:rsidRPr="00ED172B">
        <w:rPr>
          <w:color w:val="000000" w:themeColor="text1"/>
          <w:szCs w:val="16"/>
        </w:rPr>
        <w:t>Effective Transition</w:t>
      </w:r>
      <w:bookmarkEnd w:id="45"/>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13F3777D" w:rsidR="00260ED7"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524F62">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5B4038B7"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639FF337" w:rsidR="00AD77EF"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3DC599CD" w14:textId="3B3F0D57" w:rsidR="00955129" w:rsidRPr="00EC51AB" w:rsidRDefault="00955129" w:rsidP="008E7B96">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Pr="00ED172B">
        <w:rPr>
          <w:color w:val="000000" w:themeColor="text1"/>
          <w:szCs w:val="16"/>
        </w:rPr>
        <w:t>§</w:t>
      </w:r>
      <w:r w:rsidRPr="00EC51AB">
        <w:rPr>
          <w:szCs w:val="16"/>
        </w:rPr>
        <w:t>303.209(d) and, as such, only children between 2 years 3 months and 2 years 9 months should be included in the denominator.</w:t>
      </w:r>
    </w:p>
    <w:p w14:paraId="24207A88" w14:textId="0A427899"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33194379"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14:paraId="3F4C204A" w14:textId="6B3E5424" w:rsidR="00AD77EF" w:rsidRPr="00ED172B" w:rsidRDefault="00AD77EF" w:rsidP="008E7B9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667F7D63" w14:textId="242885CC" w:rsidR="00AD77EF" w:rsidRPr="00ED172B" w:rsidRDefault="00AD77EF" w:rsidP="008E7B96">
      <w:pPr>
        <w:rPr>
          <w:color w:val="000000" w:themeColor="text1"/>
          <w:szCs w:val="16"/>
        </w:rPr>
      </w:pPr>
      <w:r w:rsidRPr="00ED172B">
        <w:rPr>
          <w:color w:val="000000" w:themeColor="text1"/>
          <w:szCs w:val="16"/>
        </w:rPr>
        <w:t>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100B9D15" w:rsidR="00A639B7"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2AEB46E3" w14:textId="2B08F9C1" w:rsidR="00294186" w:rsidRPr="00EC51AB" w:rsidRDefault="00294186" w:rsidP="008E7B96">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14:paraId="217D72C9" w14:textId="61BA321B" w:rsidR="00D30AF1" w:rsidRPr="00A40EE1" w:rsidRDefault="000D0117" w:rsidP="007B0787">
      <w:pPr>
        <w:pStyle w:val="Heading2"/>
      </w:pPr>
      <w:bookmarkStart w:id="46" w:name="_Toc386209669"/>
      <w:bookmarkEnd w:id="44"/>
      <w:r w:rsidRPr="00A40EE1">
        <w:t xml:space="preserve">8A - </w:t>
      </w:r>
      <w:r w:rsidR="00D30AF1" w:rsidRPr="00A40EE1">
        <w:t>Indicator</w:t>
      </w:r>
      <w:r w:rsidR="000C5918" w:rsidRPr="00A40EE1">
        <w:t xml:space="preserve"> Data</w:t>
      </w:r>
    </w:p>
    <w:bookmarkEnd w:id="46"/>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2990"/>
        <w:gridCol w:w="875"/>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86.00%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684"/>
        <w:gridCol w:w="2022"/>
        <w:gridCol w:w="2022"/>
        <w:gridCol w:w="2022"/>
        <w:gridCol w:w="2022"/>
        <w:gridCol w:w="201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72A41C4C" w14:textId="77777777" w:rsidTr="00A40EE1">
        <w:trPr>
          <w:trHeight w:val="357"/>
        </w:trPr>
        <w:tc>
          <w:tcPr>
            <w:tcW w:w="317" w:type="pct"/>
            <w:shd w:val="clear" w:color="auto" w:fill="auto"/>
          </w:tcPr>
          <w:p w14:paraId="24DE0713" w14:textId="6F5CD266"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98.15%</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98.37%</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82.32%</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92.92%</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95.97%</w:t>
            </w:r>
          </w:p>
        </w:tc>
      </w:tr>
    </w:tbl>
    <w:p w14:paraId="52279886"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3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679"/>
        <w:gridCol w:w="2205"/>
        <w:gridCol w:w="2358"/>
        <w:gridCol w:w="2358"/>
      </w:tblGrid>
      <w:tr w:rsidR="00297FFC" w:rsidRPr="00ED172B" w14:paraId="05C3EE9D" w14:textId="0A135A6E" w:rsidTr="00EC51AB">
        <w:trPr>
          <w:trHeight w:val="259"/>
        </w:trPr>
        <w:tc>
          <w:tcPr>
            <w:tcW w:w="401" w:type="pct"/>
            <w:tcBorders>
              <w:bottom w:val="single" w:sz="4" w:space="0" w:color="auto"/>
            </w:tcBorders>
            <w:shd w:val="clear" w:color="auto" w:fill="auto"/>
          </w:tcPr>
          <w:p w14:paraId="3665F13E" w14:textId="77777777" w:rsidR="00297FFC" w:rsidRPr="00ED172B" w:rsidRDefault="00297FFC" w:rsidP="00B268B5">
            <w:pPr>
              <w:jc w:val="center"/>
              <w:rPr>
                <w:b/>
                <w:color w:val="000000" w:themeColor="text1"/>
                <w:szCs w:val="16"/>
              </w:rPr>
            </w:pPr>
            <w:r w:rsidRPr="00ED172B">
              <w:rPr>
                <w:b/>
                <w:color w:val="000000" w:themeColor="text1"/>
                <w:szCs w:val="16"/>
              </w:rPr>
              <w:t>FFY</w:t>
            </w:r>
          </w:p>
        </w:tc>
        <w:tc>
          <w:tcPr>
            <w:tcW w:w="1466" w:type="pct"/>
            <w:shd w:val="clear" w:color="auto" w:fill="auto"/>
            <w:vAlign w:val="center"/>
          </w:tcPr>
          <w:p w14:paraId="7FE4AA04" w14:textId="595FC7A1" w:rsidR="00297FFC" w:rsidRPr="00ED172B" w:rsidRDefault="00297FFC" w:rsidP="00B268B5">
            <w:pPr>
              <w:jc w:val="center"/>
              <w:rPr>
                <w:b/>
                <w:color w:val="000000" w:themeColor="text1"/>
                <w:szCs w:val="16"/>
              </w:rPr>
            </w:pPr>
            <w:r w:rsidRPr="00ED172B">
              <w:rPr>
                <w:rFonts w:cs="Arial"/>
                <w:b/>
                <w:color w:val="000000" w:themeColor="text1"/>
                <w:szCs w:val="16"/>
              </w:rPr>
              <w:t>2023</w:t>
            </w:r>
          </w:p>
        </w:tc>
        <w:tc>
          <w:tcPr>
            <w:tcW w:w="1566" w:type="pct"/>
          </w:tcPr>
          <w:p w14:paraId="2380F080" w14:textId="41CA4895" w:rsidR="00297FFC" w:rsidRPr="00ED172B" w:rsidRDefault="00297FFC" w:rsidP="00B268B5">
            <w:pPr>
              <w:jc w:val="center"/>
              <w:rPr>
                <w:rFonts w:cs="Arial"/>
                <w:b/>
                <w:color w:val="000000" w:themeColor="text1"/>
                <w:szCs w:val="16"/>
              </w:rPr>
            </w:pPr>
            <w:r>
              <w:rPr>
                <w:rFonts w:cs="Arial"/>
                <w:b/>
                <w:color w:val="000000" w:themeColor="text1"/>
                <w:szCs w:val="16"/>
              </w:rPr>
              <w:t>2024</w:t>
            </w:r>
          </w:p>
        </w:tc>
        <w:tc>
          <w:tcPr>
            <w:tcW w:w="1566" w:type="pct"/>
          </w:tcPr>
          <w:p w14:paraId="24971D5E" w14:textId="084F5872" w:rsidR="00297FFC" w:rsidRPr="00ED172B" w:rsidRDefault="00297FFC" w:rsidP="00B268B5">
            <w:pPr>
              <w:jc w:val="center"/>
              <w:rPr>
                <w:rFonts w:cs="Arial"/>
                <w:b/>
                <w:color w:val="000000" w:themeColor="text1"/>
                <w:szCs w:val="16"/>
              </w:rPr>
            </w:pPr>
            <w:r w:rsidRPr="005A1B4F">
              <w:rPr>
                <w:rFonts w:cs="Arial"/>
                <w:b/>
                <w:color w:val="000000" w:themeColor="text1"/>
                <w:szCs w:val="16"/>
              </w:rPr>
              <w:t>2025</w:t>
            </w:r>
          </w:p>
        </w:tc>
      </w:tr>
      <w:tr w:rsidR="00297FFC" w:rsidRPr="00ED172B" w14:paraId="4D4A7670" w14:textId="63A571E3" w:rsidTr="00EC51AB">
        <w:trPr>
          <w:trHeight w:val="264"/>
        </w:trPr>
        <w:tc>
          <w:tcPr>
            <w:tcW w:w="401" w:type="pct"/>
            <w:shd w:val="clear" w:color="auto" w:fill="auto"/>
          </w:tcPr>
          <w:p w14:paraId="48A5A68C" w14:textId="77777777" w:rsidR="00297FFC" w:rsidRPr="00ED172B" w:rsidRDefault="00297FFC" w:rsidP="00D21F29">
            <w:pPr>
              <w:jc w:val="center"/>
              <w:rPr>
                <w:color w:val="000000" w:themeColor="text1"/>
                <w:szCs w:val="16"/>
              </w:rPr>
            </w:pPr>
            <w:r w:rsidRPr="00ED172B">
              <w:rPr>
                <w:color w:val="000000" w:themeColor="text1"/>
                <w:szCs w:val="16"/>
              </w:rPr>
              <w:t>Target</w:t>
            </w:r>
          </w:p>
        </w:tc>
        <w:tc>
          <w:tcPr>
            <w:tcW w:w="1466" w:type="pct"/>
            <w:shd w:val="clear" w:color="auto" w:fill="auto"/>
          </w:tcPr>
          <w:p w14:paraId="15F32B75" w14:textId="1AD070A4" w:rsidR="00297FFC" w:rsidRPr="00ED172B" w:rsidRDefault="00297FFC" w:rsidP="00B268B5">
            <w:pPr>
              <w:jc w:val="center"/>
              <w:rPr>
                <w:color w:val="000000" w:themeColor="text1"/>
                <w:szCs w:val="16"/>
              </w:rPr>
            </w:pPr>
            <w:r w:rsidRPr="00ED172B">
              <w:rPr>
                <w:color w:val="000000" w:themeColor="text1"/>
                <w:szCs w:val="16"/>
              </w:rPr>
              <w:t>100%</w:t>
            </w:r>
          </w:p>
        </w:tc>
        <w:tc>
          <w:tcPr>
            <w:tcW w:w="1566" w:type="pct"/>
          </w:tcPr>
          <w:p w14:paraId="5D0EEB3A" w14:textId="61EE92E1" w:rsidR="00297FFC" w:rsidRPr="00ED172B" w:rsidRDefault="00297FFC" w:rsidP="00B268B5">
            <w:pPr>
              <w:jc w:val="center"/>
              <w:rPr>
                <w:color w:val="000000" w:themeColor="text1"/>
                <w:szCs w:val="16"/>
              </w:rPr>
            </w:pPr>
            <w:r>
              <w:rPr>
                <w:rFonts w:cs="Arial"/>
                <w:color w:val="000000" w:themeColor="text1"/>
                <w:szCs w:val="16"/>
              </w:rPr>
              <w:t>100%</w:t>
            </w:r>
          </w:p>
        </w:tc>
        <w:tc>
          <w:tcPr>
            <w:tcW w:w="1566" w:type="pct"/>
          </w:tcPr>
          <w:p w14:paraId="20630124" w14:textId="5FC6C8E6" w:rsidR="00297FFC" w:rsidRPr="00ED172B" w:rsidRDefault="00297FFC" w:rsidP="00B268B5">
            <w:pPr>
              <w:jc w:val="center"/>
              <w:rPr>
                <w:color w:val="000000" w:themeColor="text1"/>
                <w:szCs w:val="16"/>
              </w:rPr>
            </w:pPr>
            <w:r w:rsidRPr="005F5F3C">
              <w:rPr>
                <w:rFonts w:cs="Arial"/>
                <w:color w:val="000000" w:themeColor="text1"/>
                <w:szCs w:val="16"/>
              </w:rPr>
              <w:t>100%</w:t>
            </w:r>
          </w:p>
        </w:tc>
      </w:tr>
    </w:tbl>
    <w:p w14:paraId="5FD6765E" w14:textId="77777777" w:rsidR="00955129" w:rsidRDefault="00955129">
      <w:pPr>
        <w:rPr>
          <w:b/>
          <w:color w:val="000000" w:themeColor="text1"/>
        </w:rPr>
      </w:pPr>
    </w:p>
    <w:p w14:paraId="31F20CDA" w14:textId="2895DD3C" w:rsidR="008E7B96" w:rsidRPr="00ED172B" w:rsidRDefault="00F22D09">
      <w:pPr>
        <w:rPr>
          <w:b/>
          <w:color w:val="000000" w:themeColor="text1"/>
        </w:rPr>
      </w:pPr>
      <w:r>
        <w:rPr>
          <w:b/>
          <w:color w:val="000000" w:themeColor="text1"/>
        </w:rPr>
        <w:t>FFY 2023 SPP/APR Data</w:t>
      </w:r>
    </w:p>
    <w:p w14:paraId="063239BF" w14:textId="03A060F4" w:rsidR="00E440C8" w:rsidRPr="00EC51AB" w:rsidRDefault="00E440C8">
      <w:pPr>
        <w:rPr>
          <w:rFonts w:cs="Arial"/>
          <w:bCs/>
          <w:color w:val="000000" w:themeColor="text1"/>
          <w:szCs w:val="16"/>
        </w:rPr>
      </w:pPr>
      <w:r w:rsidRPr="00EC51AB">
        <w:rPr>
          <w:rFonts w:cs="Arial"/>
          <w:bCs/>
          <w:color w:val="000000" w:themeColor="text1"/>
          <w:szCs w:val="16"/>
        </w:rPr>
        <w:t>Data include only those toddlers with disabilities exiting Part C at age 3 for whom the Lead Agency was required to develop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298D1F15" w:rsidR="00F939F8" w:rsidRPr="00ED172B" w:rsidRDefault="00CD74B5" w:rsidP="00F939F8">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14:paraId="6711AE0C" w14:textId="25EE42D8" w:rsidR="00F939F8" w:rsidRPr="00ED172B" w:rsidRDefault="00F22D09" w:rsidP="00F939F8">
            <w:pPr>
              <w:jc w:val="center"/>
              <w:rPr>
                <w:rFonts w:cs="Arial"/>
                <w:b/>
                <w:color w:val="000000" w:themeColor="text1"/>
                <w:szCs w:val="16"/>
              </w:rPr>
            </w:pPr>
            <w:r>
              <w:rPr>
                <w:rFonts w:cs="Arial"/>
                <w:b/>
                <w:color w:val="000000" w:themeColor="text1"/>
                <w:szCs w:val="16"/>
              </w:rPr>
              <w:t>FFY 2023 Target</w:t>
            </w:r>
          </w:p>
        </w:tc>
        <w:tc>
          <w:tcPr>
            <w:tcW w:w="584" w:type="pct"/>
            <w:shd w:val="clear" w:color="auto" w:fill="auto"/>
            <w:vAlign w:val="bottom"/>
          </w:tcPr>
          <w:p w14:paraId="2C4EE232" w14:textId="4087269F" w:rsidR="00F939F8" w:rsidRPr="00ED172B" w:rsidRDefault="00F22D09" w:rsidP="00F939F8">
            <w:pPr>
              <w:jc w:val="center"/>
              <w:rPr>
                <w:rFonts w:cs="Arial"/>
                <w:b/>
                <w:color w:val="000000" w:themeColor="text1"/>
                <w:szCs w:val="16"/>
              </w:rPr>
            </w:pPr>
            <w:r>
              <w:rPr>
                <w:rFonts w:cs="Arial"/>
                <w:b/>
                <w:color w:val="000000" w:themeColor="text1"/>
                <w:szCs w:val="16"/>
              </w:rPr>
              <w:t>FFY 2023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820</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820</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95.97%</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70F5A41" w14:textId="75215117" w:rsidR="008901AF" w:rsidRPr="00ED172B"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C51AB">
        <w:rPr>
          <w:rFonts w:cs="Arial"/>
          <w:bCs/>
          <w:color w:val="000000" w:themeColor="text1"/>
          <w:szCs w:val="16"/>
        </w:rPr>
        <w:t>This number will be added to the “Number of children exiting Part C who have an IFSP with transition steps and services” field to calculate the numerator for this indicator.</w:t>
      </w:r>
    </w:p>
    <w:p w14:paraId="18B7DCE3" w14:textId="6016FEEB" w:rsidR="008901AF" w:rsidRDefault="008901AF" w:rsidP="005A1CA1">
      <w:pPr>
        <w:rPr>
          <w:rFonts w:cs="Arial"/>
          <w:color w:val="000000" w:themeColor="text1"/>
          <w:szCs w:val="16"/>
        </w:rPr>
      </w:pPr>
    </w:p>
    <w:p w14:paraId="0D061463" w14:textId="77777777" w:rsidR="00C3454D" w:rsidRDefault="00C3454D" w:rsidP="00C3454D">
      <w:pPr>
        <w:rPr>
          <w:rFonts w:cs="Arial"/>
          <w:b/>
          <w:color w:val="000000" w:themeColor="text1"/>
          <w:szCs w:val="16"/>
        </w:rPr>
      </w:pPr>
      <w:r w:rsidRPr="003739C5">
        <w:rPr>
          <w:rFonts w:cs="Arial"/>
          <w:b/>
          <w:color w:val="000000" w:themeColor="text1"/>
          <w:szCs w:val="16"/>
        </w:rPr>
        <w:t>Provide reasons for delay, if applicable.</w:t>
      </w:r>
    </w:p>
    <w:p w14:paraId="3D48C4E6" w14:textId="2641554E" w:rsidR="00C3454D" w:rsidRPr="00ED172B" w:rsidRDefault="00C3454D" w:rsidP="00C3454D">
      <w:pPr>
        <w:rPr>
          <w:rFonts w:cs="Arial"/>
          <w:color w:val="000000" w:themeColor="text1"/>
          <w:szCs w:val="16"/>
        </w:rPr>
      </w:pP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database</w:t>
      </w:r>
    </w:p>
    <w:p w14:paraId="5D003928" w14:textId="19976D09"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C9D911D" w14:textId="0FF876C8" w:rsidR="000709B9" w:rsidRPr="00ED172B" w:rsidRDefault="00860830" w:rsidP="000709B9">
      <w:pPr>
        <w:rPr>
          <w:color w:val="000000" w:themeColor="text1"/>
        </w:rPr>
      </w:pPr>
      <w:r w:rsidRPr="00ED172B">
        <w:rPr>
          <w:color w:val="000000" w:themeColor="text1"/>
        </w:rPr>
        <w:t>March, April, and May 2024</w:t>
      </w:r>
    </w:p>
    <w:p w14:paraId="73D500B7" w14:textId="4C4F39BA"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4D895DFF" w14:textId="74CFB1B8" w:rsidR="000709B9" w:rsidRDefault="00860830" w:rsidP="000709B9">
      <w:pPr>
        <w:rPr>
          <w:rFonts w:cs="Arial"/>
          <w:color w:val="000000" w:themeColor="text1"/>
          <w:szCs w:val="16"/>
        </w:rPr>
      </w:pPr>
      <w:r w:rsidRPr="00ED172B">
        <w:rPr>
          <w:rFonts w:cs="Arial"/>
          <w:color w:val="000000" w:themeColor="text1"/>
          <w:szCs w:val="16"/>
        </w:rPr>
        <w:t>The Early Intervention Data System (EIDS) Transition Report produces the list of children exiting during the targeted months of March, April and May, 2024. Data collected for this indicator is accurate and valid as included children from all family support coordination (FSC) agencies during the quarter. This period selected for data review for this indicator has been consistently used for several years and when quarterly results are compared each year the data has consistently reflected the full reporting period. Chart review was then conducted using the report for data collection for Indicators 8a and 8c for IFSPs with steps and services and timely transition conferences. Reviews of System Point of Entry agencies and Family Service Coordination agencies’ charts were then conducted for children exiting for the period--a total of 820 children. The review protocol used by Regional staff requires contacting the Local Education Agency or the parents and indicate the status of the child's transition when the data system’s closure reason reported “Part B eligibility not determined”, if the transition conference was not timely. The state team verified by review of child records which included children’s IFSPs and the state data base for Indicator 8A.The Part C Coordinator reviewed 10% of each regional list as verification of compliance.</w:t>
      </w:r>
    </w:p>
    <w:p w14:paraId="679E0C72" w14:textId="13C4427A"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3A3693" w:rsidP="003A3693">
      <w:pPr>
        <w:rPr>
          <w:rFonts w:cs="Arial"/>
          <w:color w:val="000000" w:themeColor="text1"/>
          <w:szCs w:val="16"/>
        </w:rPr>
      </w:pPr>
    </w:p>
    <w:p w14:paraId="367CB071" w14:textId="38741206" w:rsidR="008203B4" w:rsidRPr="00ED172B" w:rsidRDefault="008203B4"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8APFFYNCFINDINGS"/>
      </w:tblPr>
      <w:tblGrid>
        <w:gridCol w:w="2610"/>
        <w:gridCol w:w="2741"/>
        <w:gridCol w:w="2618"/>
        <w:gridCol w:w="2821"/>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60830" w:rsidP="00ED172B">
            <w:pPr>
              <w:jc w:val="center"/>
              <w:rPr>
                <w:rFonts w:cs="Arial"/>
                <w:color w:val="000000" w:themeColor="text1"/>
                <w:szCs w:val="16"/>
              </w:rPr>
            </w:pPr>
            <w:r w:rsidRPr="00ED172B">
              <w:rPr>
                <w:rFonts w:cs="Arial"/>
                <w:color w:val="000000" w:themeColor="text1"/>
                <w:szCs w:val="16"/>
              </w:rPr>
              <w:t>32</w:t>
            </w:r>
          </w:p>
        </w:tc>
        <w:tc>
          <w:tcPr>
            <w:tcW w:w="1270" w:type="pct"/>
            <w:shd w:val="clear" w:color="auto" w:fill="auto"/>
          </w:tcPr>
          <w:p w14:paraId="6F7AE561" w14:textId="0506DBB0" w:rsidR="008203B4" w:rsidRPr="00ED172B" w:rsidRDefault="00860830" w:rsidP="00ED172B">
            <w:pPr>
              <w:jc w:val="center"/>
              <w:rPr>
                <w:rFonts w:cs="Arial"/>
                <w:color w:val="000000" w:themeColor="text1"/>
                <w:szCs w:val="16"/>
              </w:rPr>
            </w:pPr>
            <w:r w:rsidRPr="00ED172B">
              <w:rPr>
                <w:rFonts w:cs="Arial"/>
                <w:color w:val="000000" w:themeColor="text1"/>
                <w:szCs w:val="16"/>
              </w:rPr>
              <w:t>32</w:t>
            </w:r>
          </w:p>
        </w:tc>
        <w:tc>
          <w:tcPr>
            <w:tcW w:w="1213" w:type="pct"/>
            <w:shd w:val="clear" w:color="auto" w:fill="auto"/>
          </w:tcPr>
          <w:p w14:paraId="58BE9E1E" w14:textId="2A20A5FA" w:rsidR="008203B4" w:rsidRPr="00ED172B" w:rsidRDefault="008203B4" w:rsidP="00ED172B">
            <w:pPr>
              <w:jc w:val="center"/>
              <w:rPr>
                <w:rFonts w:cs="Arial"/>
                <w:color w:val="000000" w:themeColor="text1"/>
                <w:szCs w:val="16"/>
              </w:rPr>
            </w:pPr>
          </w:p>
        </w:tc>
        <w:tc>
          <w:tcPr>
            <w:tcW w:w="1308" w:type="pct"/>
            <w:shd w:val="clear" w:color="auto" w:fill="auto"/>
          </w:tcPr>
          <w:p w14:paraId="23C4C3AF" w14:textId="3B5B521A" w:rsidR="008203B4" w:rsidRPr="00ED172B" w:rsidRDefault="00860830" w:rsidP="00EC51AB">
            <w:pPr>
              <w:jc w:val="center"/>
              <w:rPr>
                <w:rFonts w:cs="Arial"/>
                <w:color w:val="000000" w:themeColor="text1"/>
                <w:szCs w:val="16"/>
              </w:rPr>
            </w:pPr>
            <w:r w:rsidRPr="00ED172B">
              <w:rPr>
                <w:rFonts w:cs="Arial"/>
                <w:color w:val="000000" w:themeColor="text1"/>
                <w:szCs w:val="16"/>
              </w:rPr>
              <w:t>0</w:t>
            </w:r>
          </w:p>
        </w:tc>
      </w:tr>
    </w:tbl>
    <w:p w14:paraId="297C4AAD" w14:textId="57E44F56" w:rsidR="008203B4" w:rsidRPr="00ED172B" w:rsidRDefault="00CD74B5" w:rsidP="00B83404">
      <w:pPr>
        <w:rPr>
          <w:color w:val="000000" w:themeColor="text1"/>
        </w:rPr>
      </w:pPr>
      <w:r>
        <w:rPr>
          <w:b/>
          <w:color w:val="000000" w:themeColor="text1"/>
        </w:rPr>
        <w:t>FFY 2022 Findings of Noncompliance Verified as Corrected</w:t>
      </w:r>
    </w:p>
    <w:p w14:paraId="2049985B" w14:textId="762336E6" w:rsidR="008203B4" w:rsidRPr="00ED172B" w:rsidRDefault="008203B4">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426695CD" w14:textId="04C27211" w:rsidR="008203B4" w:rsidRPr="00ED172B" w:rsidRDefault="00860830">
      <w:pPr>
        <w:rPr>
          <w:color w:val="000000" w:themeColor="text1"/>
        </w:rPr>
      </w:pPr>
      <w:r w:rsidRPr="00ED172B">
        <w:rPr>
          <w:color w:val="000000" w:themeColor="text1"/>
        </w:rPr>
        <w:t>The Part C state team met and discussed data analysis for transition steps and services to ensure consistency in the monitoring process. EarlySteps staff have added improvement activities during regional interagency coordinating council meetings, regular meetings with intake and family support coordinator agencies, statewide quarterly meetings with Part C Coordinator, Transition Workshops held with Families Helping Families, and through technical assistance e-mails with reminders from the EarlySteps practice manual. The EIDS Transition Report and chart review were used to verify that IFSPs included transition steps and services were completed. Regional Coordinators reviewed data, conducted chart review, and contacted LEAs and families to verify that transition occurred. For the 32 findings issued, written notification of the findings was issued to the FSC agencies and corrective action plans were developed. The Regional Coordinator conducted follow up monitoring of at least 10% of subsequent files for each agency using the Transition Report and chart review to verify that subsequent IFSPs included transition steps and services. The state reviewed pertinent data and verified that all FSCs with a finding of noncompliance were correctly implementing the regulatory requirements at 100% performance within one year of issuing the finding.</w:t>
      </w:r>
    </w:p>
    <w:p w14:paraId="748DC2E5" w14:textId="77403AF8" w:rsidR="008203B4" w:rsidRPr="00ED172B" w:rsidRDefault="008203B4">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D7ABAD5" w14:textId="72D98F40" w:rsidR="008203B4" w:rsidRDefault="00860830">
      <w:pPr>
        <w:rPr>
          <w:color w:val="000000" w:themeColor="text1"/>
        </w:rPr>
      </w:pPr>
      <w:r w:rsidRPr="00ED172B">
        <w:rPr>
          <w:color w:val="000000" w:themeColor="text1"/>
        </w:rPr>
        <w:t xml:space="preserve">The Part C state team met and discussed data analysis for transition steps and services to ensure consistency in the monitoring process. The state reviewed pertinent data to verify that the 32 children had IFSPs with transition steps and service, although late. Through monitoring for Indicator 8a </w:t>
      </w:r>
      <w:r w:rsidRPr="00ED172B">
        <w:rPr>
          <w:color w:val="000000" w:themeColor="text1"/>
        </w:rPr>
        <w:lastRenderedPageBreak/>
        <w:t>performance, Regional Coordinator reviewed the transition status for each child for whom the IFSP did not include steps and services. Additionally a chart review by the Regional Coordinator, verified that each child had IFSPs with transition steps and service.</w:t>
      </w:r>
    </w:p>
    <w:p w14:paraId="300F7028" w14:textId="4AFABA09" w:rsidR="008203B4" w:rsidRPr="00ED172B" w:rsidRDefault="008203B4"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0FBFD419"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60830" w:rsidP="00D21F29">
            <w:pPr>
              <w:jc w:val="center"/>
              <w:rPr>
                <w:rFonts w:cs="Arial"/>
                <w:color w:val="000000" w:themeColor="text1"/>
                <w:szCs w:val="16"/>
              </w:rPr>
            </w:pPr>
            <w:r w:rsidRPr="00ED172B">
              <w:rPr>
                <w:rFonts w:cs="Arial"/>
                <w:color w:val="000000" w:themeColor="text1"/>
                <w:szCs w:val="16"/>
              </w:rPr>
              <w:t>FFY 2021</w:t>
            </w:r>
          </w:p>
        </w:tc>
        <w:tc>
          <w:tcPr>
            <w:tcW w:w="1388" w:type="pct"/>
            <w:shd w:val="clear" w:color="auto" w:fill="auto"/>
          </w:tcPr>
          <w:p w14:paraId="59BBBE3F" w14:textId="119CB64D" w:rsidR="008203B4" w:rsidRPr="00ED172B" w:rsidRDefault="00860830" w:rsidP="00CD79C5">
            <w:pPr>
              <w:jc w:val="center"/>
              <w:rPr>
                <w:rFonts w:cs="Arial"/>
                <w:noProof/>
                <w:color w:val="000000" w:themeColor="text1"/>
                <w:szCs w:val="16"/>
              </w:rPr>
            </w:pPr>
            <w:r w:rsidRPr="00ED172B">
              <w:rPr>
                <w:rFonts w:cs="Arial"/>
                <w:color w:val="000000" w:themeColor="text1"/>
                <w:szCs w:val="16"/>
              </w:rPr>
              <w:t>49</w:t>
            </w:r>
          </w:p>
        </w:tc>
        <w:tc>
          <w:tcPr>
            <w:tcW w:w="1383" w:type="pct"/>
            <w:shd w:val="clear" w:color="auto" w:fill="auto"/>
          </w:tcPr>
          <w:p w14:paraId="127E5ED1" w14:textId="5E826401" w:rsidR="008203B4" w:rsidRPr="00ED172B" w:rsidRDefault="00860830" w:rsidP="00CD79C5">
            <w:pPr>
              <w:jc w:val="center"/>
              <w:rPr>
                <w:rFonts w:cs="Arial"/>
                <w:noProof/>
                <w:color w:val="000000" w:themeColor="text1"/>
                <w:szCs w:val="16"/>
              </w:rPr>
            </w:pPr>
            <w:r w:rsidRPr="00ED172B">
              <w:rPr>
                <w:rFonts w:cs="Arial"/>
                <w:color w:val="000000" w:themeColor="text1"/>
                <w:szCs w:val="16"/>
              </w:rPr>
              <w:t>49</w:t>
            </w:r>
          </w:p>
        </w:tc>
        <w:tc>
          <w:tcPr>
            <w:tcW w:w="1300" w:type="pct"/>
            <w:shd w:val="clear" w:color="auto" w:fill="auto"/>
          </w:tcPr>
          <w:p w14:paraId="150828EF" w14:textId="74F3132B" w:rsidR="008203B4" w:rsidRPr="00ED172B" w:rsidRDefault="00860830" w:rsidP="00CD79C5">
            <w:pPr>
              <w:jc w:val="center"/>
              <w:rPr>
                <w:rFonts w:cs="Arial"/>
                <w:noProof/>
                <w:color w:val="000000" w:themeColor="text1"/>
                <w:szCs w:val="16"/>
              </w:rPr>
            </w:pPr>
            <w:r w:rsidRPr="00ED172B">
              <w:rPr>
                <w:rFonts w:cs="Arial"/>
                <w:color w:val="000000" w:themeColor="text1"/>
                <w:szCs w:val="16"/>
              </w:rPr>
              <w:t>0</w:t>
            </w:r>
          </w:p>
        </w:tc>
      </w:tr>
      <w:tr w:rsidR="00ED172B" w:rsidRPr="00ED172B" w14:paraId="1FB93036" w14:textId="77777777" w:rsidTr="00986B99">
        <w:tc>
          <w:tcPr>
            <w:tcW w:w="929" w:type="pct"/>
            <w:shd w:val="clear" w:color="auto" w:fill="auto"/>
          </w:tcPr>
          <w:p w14:paraId="0F0F055B" w14:textId="44C477C9" w:rsidR="008203B4" w:rsidRPr="00ED172B" w:rsidRDefault="008203B4" w:rsidP="00D21F29">
            <w:pPr>
              <w:jc w:val="center"/>
              <w:rPr>
                <w:rFonts w:cs="Arial"/>
                <w:color w:val="000000" w:themeColor="text1"/>
                <w:szCs w:val="16"/>
              </w:rPr>
            </w:pPr>
          </w:p>
        </w:tc>
        <w:tc>
          <w:tcPr>
            <w:tcW w:w="1388" w:type="pct"/>
            <w:shd w:val="clear" w:color="auto" w:fill="auto"/>
          </w:tcPr>
          <w:p w14:paraId="4E4D35EC" w14:textId="3014D54F" w:rsidR="008203B4" w:rsidRPr="00ED172B" w:rsidRDefault="008203B4" w:rsidP="00CD79C5">
            <w:pPr>
              <w:jc w:val="center"/>
              <w:rPr>
                <w:rFonts w:cs="Arial"/>
                <w:noProof/>
                <w:color w:val="000000" w:themeColor="text1"/>
                <w:szCs w:val="16"/>
              </w:rPr>
            </w:pPr>
          </w:p>
        </w:tc>
        <w:tc>
          <w:tcPr>
            <w:tcW w:w="1383" w:type="pct"/>
            <w:shd w:val="clear" w:color="auto" w:fill="auto"/>
          </w:tcPr>
          <w:p w14:paraId="031A6B9D" w14:textId="25F039AF" w:rsidR="008203B4" w:rsidRPr="00ED172B" w:rsidRDefault="008203B4" w:rsidP="00CD79C5">
            <w:pPr>
              <w:jc w:val="center"/>
              <w:rPr>
                <w:rFonts w:cs="Arial"/>
                <w:noProof/>
                <w:color w:val="000000" w:themeColor="text1"/>
                <w:szCs w:val="16"/>
              </w:rPr>
            </w:pPr>
          </w:p>
        </w:tc>
        <w:tc>
          <w:tcPr>
            <w:tcW w:w="1300" w:type="pct"/>
            <w:shd w:val="clear" w:color="auto" w:fill="auto"/>
          </w:tcPr>
          <w:p w14:paraId="279F2773" w14:textId="6B96ACEF" w:rsidR="008203B4" w:rsidRPr="00ED172B" w:rsidRDefault="008203B4" w:rsidP="00CD79C5">
            <w:pPr>
              <w:jc w:val="center"/>
              <w:rPr>
                <w:rFonts w:cs="Arial"/>
                <w:noProof/>
                <w:color w:val="000000" w:themeColor="text1"/>
                <w:szCs w:val="16"/>
              </w:rPr>
            </w:pPr>
          </w:p>
        </w:tc>
      </w:tr>
      <w:tr w:rsidR="00ED172B" w:rsidRPr="00ED172B" w14:paraId="541BD90C" w14:textId="77777777" w:rsidTr="00986B99">
        <w:tc>
          <w:tcPr>
            <w:tcW w:w="929" w:type="pct"/>
            <w:shd w:val="clear" w:color="auto" w:fill="auto"/>
          </w:tcPr>
          <w:p w14:paraId="1E7B5266" w14:textId="4224D93A" w:rsidR="008203B4" w:rsidRPr="00ED172B" w:rsidRDefault="008203B4" w:rsidP="00D21F29">
            <w:pPr>
              <w:jc w:val="center"/>
              <w:rPr>
                <w:rFonts w:cs="Arial"/>
                <w:color w:val="000000" w:themeColor="text1"/>
                <w:szCs w:val="16"/>
              </w:rPr>
            </w:pPr>
          </w:p>
        </w:tc>
        <w:tc>
          <w:tcPr>
            <w:tcW w:w="1388" w:type="pct"/>
            <w:shd w:val="clear" w:color="auto" w:fill="auto"/>
          </w:tcPr>
          <w:p w14:paraId="7C14D12B" w14:textId="3003CF69" w:rsidR="008203B4" w:rsidRPr="00ED172B" w:rsidRDefault="008203B4" w:rsidP="00CD79C5">
            <w:pPr>
              <w:jc w:val="center"/>
              <w:rPr>
                <w:rFonts w:cs="Arial"/>
                <w:noProof/>
                <w:color w:val="000000" w:themeColor="text1"/>
                <w:szCs w:val="16"/>
              </w:rPr>
            </w:pPr>
          </w:p>
        </w:tc>
        <w:tc>
          <w:tcPr>
            <w:tcW w:w="1383" w:type="pct"/>
            <w:shd w:val="clear" w:color="auto" w:fill="auto"/>
          </w:tcPr>
          <w:p w14:paraId="45A94EB7" w14:textId="2538AC18" w:rsidR="008203B4" w:rsidRPr="00ED172B" w:rsidRDefault="008203B4" w:rsidP="00CD79C5">
            <w:pPr>
              <w:jc w:val="center"/>
              <w:rPr>
                <w:rFonts w:cs="Arial"/>
                <w:noProof/>
                <w:color w:val="000000" w:themeColor="text1"/>
                <w:szCs w:val="16"/>
              </w:rPr>
            </w:pPr>
          </w:p>
        </w:tc>
        <w:tc>
          <w:tcPr>
            <w:tcW w:w="1300" w:type="pct"/>
            <w:shd w:val="clear" w:color="auto" w:fill="auto"/>
          </w:tcPr>
          <w:p w14:paraId="0B3D9222" w14:textId="41BA0134" w:rsidR="008203B4" w:rsidRPr="00ED172B" w:rsidRDefault="008203B4" w:rsidP="00CD79C5">
            <w:pPr>
              <w:jc w:val="center"/>
              <w:rPr>
                <w:rFonts w:cs="Arial"/>
                <w:noProof/>
                <w:color w:val="000000" w:themeColor="text1"/>
                <w:szCs w:val="16"/>
              </w:rPr>
            </w:pPr>
          </w:p>
        </w:tc>
      </w:tr>
      <w:tr w:rsidR="003567DA" w:rsidRPr="00ED172B" w14:paraId="7E195BF3" w14:textId="77777777" w:rsidTr="00986B99">
        <w:tc>
          <w:tcPr>
            <w:tcW w:w="929" w:type="pct"/>
            <w:shd w:val="clear" w:color="auto" w:fill="auto"/>
          </w:tcPr>
          <w:p w14:paraId="4AF2A60C" w14:textId="3576B2CF" w:rsidR="003567DA" w:rsidRPr="00ED172B" w:rsidRDefault="003567DA" w:rsidP="00D21F29">
            <w:pPr>
              <w:jc w:val="center"/>
              <w:rPr>
                <w:rFonts w:cs="Arial"/>
                <w:color w:val="000000" w:themeColor="text1"/>
                <w:szCs w:val="16"/>
              </w:rPr>
            </w:pPr>
          </w:p>
        </w:tc>
        <w:tc>
          <w:tcPr>
            <w:tcW w:w="1388" w:type="pct"/>
            <w:shd w:val="clear" w:color="auto" w:fill="auto"/>
          </w:tcPr>
          <w:p w14:paraId="59D9013C" w14:textId="1941712A" w:rsidR="003567DA" w:rsidRPr="00ED172B" w:rsidRDefault="003567DA" w:rsidP="003567DA">
            <w:pPr>
              <w:jc w:val="center"/>
              <w:rPr>
                <w:rFonts w:cs="Arial"/>
                <w:color w:val="000000" w:themeColor="text1"/>
                <w:szCs w:val="16"/>
              </w:rPr>
            </w:pPr>
          </w:p>
        </w:tc>
        <w:tc>
          <w:tcPr>
            <w:tcW w:w="1383" w:type="pct"/>
            <w:shd w:val="clear" w:color="auto" w:fill="auto"/>
          </w:tcPr>
          <w:p w14:paraId="751143B2" w14:textId="0A52A4C8" w:rsidR="003567DA" w:rsidRPr="00ED172B" w:rsidRDefault="003567DA" w:rsidP="003567DA">
            <w:pPr>
              <w:jc w:val="center"/>
              <w:rPr>
                <w:rFonts w:cs="Arial"/>
                <w:color w:val="000000" w:themeColor="text1"/>
                <w:szCs w:val="16"/>
              </w:rPr>
            </w:pPr>
          </w:p>
        </w:tc>
        <w:tc>
          <w:tcPr>
            <w:tcW w:w="1300" w:type="pct"/>
            <w:shd w:val="clear" w:color="auto" w:fill="auto"/>
          </w:tcPr>
          <w:p w14:paraId="325EE8E5" w14:textId="6960CE55" w:rsidR="003567DA" w:rsidRPr="00ED172B" w:rsidRDefault="003567DA" w:rsidP="003567DA">
            <w:pPr>
              <w:jc w:val="center"/>
              <w:rPr>
                <w:rFonts w:cs="Arial"/>
                <w:color w:val="000000" w:themeColor="text1"/>
                <w:szCs w:val="16"/>
              </w:rPr>
            </w:pPr>
          </w:p>
        </w:tc>
      </w:tr>
      <w:tr w:rsidR="003567DA" w:rsidRPr="00ED172B" w14:paraId="5BC0AB2F" w14:textId="77777777" w:rsidTr="00986B99">
        <w:tc>
          <w:tcPr>
            <w:tcW w:w="929" w:type="pct"/>
            <w:shd w:val="clear" w:color="auto" w:fill="auto"/>
          </w:tcPr>
          <w:p w14:paraId="7320BAB7" w14:textId="21191BEE" w:rsidR="003567DA" w:rsidRPr="00ED172B" w:rsidRDefault="003567DA" w:rsidP="00D21F29">
            <w:pPr>
              <w:jc w:val="center"/>
              <w:rPr>
                <w:rFonts w:cs="Arial"/>
                <w:color w:val="000000" w:themeColor="text1"/>
                <w:szCs w:val="16"/>
              </w:rPr>
            </w:pPr>
          </w:p>
        </w:tc>
        <w:tc>
          <w:tcPr>
            <w:tcW w:w="1388" w:type="pct"/>
            <w:shd w:val="clear" w:color="auto" w:fill="auto"/>
          </w:tcPr>
          <w:p w14:paraId="49A8062D" w14:textId="27001B2C" w:rsidR="003567DA" w:rsidRPr="00ED172B" w:rsidRDefault="003567DA" w:rsidP="003567DA">
            <w:pPr>
              <w:jc w:val="center"/>
              <w:rPr>
                <w:rFonts w:cs="Arial"/>
                <w:color w:val="000000" w:themeColor="text1"/>
                <w:szCs w:val="16"/>
              </w:rPr>
            </w:pPr>
          </w:p>
        </w:tc>
        <w:tc>
          <w:tcPr>
            <w:tcW w:w="1383" w:type="pct"/>
            <w:shd w:val="clear" w:color="auto" w:fill="auto"/>
          </w:tcPr>
          <w:p w14:paraId="4E01C463" w14:textId="785D827D" w:rsidR="003567DA" w:rsidRPr="00ED172B" w:rsidRDefault="003567DA" w:rsidP="003567DA">
            <w:pPr>
              <w:jc w:val="center"/>
              <w:rPr>
                <w:rFonts w:cs="Arial"/>
                <w:color w:val="000000" w:themeColor="text1"/>
                <w:szCs w:val="16"/>
              </w:rPr>
            </w:pPr>
          </w:p>
        </w:tc>
        <w:tc>
          <w:tcPr>
            <w:tcW w:w="1300" w:type="pct"/>
            <w:shd w:val="clear" w:color="auto" w:fill="auto"/>
          </w:tcPr>
          <w:p w14:paraId="34D7F437" w14:textId="447F553F" w:rsidR="003567DA" w:rsidRPr="00ED172B" w:rsidRDefault="003567DA" w:rsidP="003567DA">
            <w:pPr>
              <w:jc w:val="center"/>
              <w:rPr>
                <w:rFonts w:cs="Arial"/>
                <w:color w:val="000000" w:themeColor="text1"/>
                <w:szCs w:val="16"/>
              </w:rPr>
            </w:pPr>
          </w:p>
        </w:tc>
      </w:tr>
    </w:tbl>
    <w:p w14:paraId="253C636B" w14:textId="5FE76F41" w:rsidR="004952E2" w:rsidRPr="00ED172B" w:rsidRDefault="00E26920" w:rsidP="00B83404">
      <w:pPr>
        <w:rPr>
          <w:rFonts w:cs="Arial"/>
          <w:b/>
          <w:bCs/>
          <w:color w:val="000000" w:themeColor="text1"/>
          <w:szCs w:val="16"/>
        </w:rPr>
      </w:pPr>
      <w:r w:rsidRPr="00ED172B">
        <w:rPr>
          <w:rFonts w:cs="Arial"/>
          <w:b/>
          <w:bCs/>
          <w:color w:val="000000" w:themeColor="text1"/>
          <w:szCs w:val="16"/>
        </w:rPr>
        <w:t>FFY 2021</w:t>
      </w:r>
    </w:p>
    <w:p w14:paraId="4B629220" w14:textId="17CD0900" w:rsidR="008203B4" w:rsidRPr="00ED172B" w:rsidRDefault="008203B4" w:rsidP="00B83404">
      <w:pPr>
        <w:rPr>
          <w:color w:val="000000" w:themeColor="text1"/>
        </w:rPr>
      </w:pPr>
      <w:r w:rsidRPr="00ED172B">
        <w:rPr>
          <w:b/>
          <w:color w:val="000000" w:themeColor="text1"/>
        </w:rPr>
        <w:t>Findings of Noncompliance Verified as Corrected</w:t>
      </w:r>
    </w:p>
    <w:p w14:paraId="1F8CBDA1" w14:textId="3FFE0AAB" w:rsidR="008203B4" w:rsidRPr="00ED172B" w:rsidRDefault="008203B4">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75538175" w14:textId="2FDF0810" w:rsidR="008203B4" w:rsidRPr="00ED172B" w:rsidRDefault="00860830">
      <w:pPr>
        <w:rPr>
          <w:color w:val="000000" w:themeColor="text1"/>
        </w:rPr>
      </w:pPr>
      <w:r w:rsidRPr="00ED172B">
        <w:rPr>
          <w:color w:val="000000" w:themeColor="text1"/>
        </w:rPr>
        <w:t>The Part C state team met and discussed data analysis for transition steps and services to ensure consistency in the monitoring process. EarlySteps staff have added improvement activities during regional interagency coordinating council meetings, regular meetings with intake and family support coordinator agencies, statewide quarterly meetings with Part C Coordinator, Transition Workshops held with Families Helping Families, and through technical assistance e-mails with reminders from the EarlySteps practice manual. The EIDS Transition Report and chart review were used to verify that IFSPs included transition steps and services were completed. The state reviewed pertinent data and verified that all FSCs with a finding of noncompliance were correctly implementing the regulatory requirements at 100% performance. Regional Coordinator reviewed data, conducted chart review and contacted LEAs and families to verify that transition occurred. For the 49 findings issued, notification of the findings was issued to the FSC agencies and corrective action plans were developed. The Regional Coordinator conducted follow up monitoring of at least 10% of subsequent files for each agency using the Transition Report and chart review to verify that subsequent IFSPs included transition steps and services. The state reviewed pertinent data and verified that all FSCs with a finding of noncompliance were correctly implementing the regulatory requirements at 100% performance within one year of issuing the finding.</w:t>
      </w:r>
    </w:p>
    <w:p w14:paraId="1F9A59A5" w14:textId="0FEC185E" w:rsidR="008203B4" w:rsidRPr="00ED172B" w:rsidRDefault="008203B4">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F6DD765" w14:textId="0F00EF3A" w:rsidR="008203B4" w:rsidRDefault="00860830">
      <w:pPr>
        <w:rPr>
          <w:color w:val="000000" w:themeColor="text1"/>
        </w:rPr>
      </w:pPr>
      <w:r w:rsidRPr="00ED172B">
        <w:rPr>
          <w:color w:val="000000" w:themeColor="text1"/>
        </w:rPr>
        <w:t>At the time of monitoring, these 49 children were no longer within jurisdiction of EarlySteps.</w:t>
      </w:r>
      <w:r w:rsidRPr="00ED172B">
        <w:rPr>
          <w:color w:val="000000" w:themeColor="text1"/>
        </w:rPr>
        <w:br/>
      </w:r>
      <w:r w:rsidRPr="00ED172B">
        <w:rPr>
          <w:color w:val="000000" w:themeColor="text1"/>
        </w:rPr>
        <w:br/>
        <w:t xml:space="preserve">Through monitoring for Indicator 8a performance, Regional Coordinator reviewed the transition status for each child for whom the IFSP did not include steps and services. Regional Coordinator contacted families and/or the LEAs to verify that for these 49 children transition occurred even though steps and services were not accurately documented on IFSP documents. </w:t>
      </w:r>
    </w:p>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 xml:space="preserve">Because the State reported less than 100% compliance for FFY 2022, the State must report on the status of correction of noncompliance identified in FFY 2022 for this indicator. In addition, the State must demonstrate, in the FFY 2023 SPP/APR, that the remaining 49 uncorrected findings of noncompliance identified in FFY 2021 were corrected. When reporting on the correction of noncompliance, the State must report, in the FFY 2023 SPP/APR, that it has verified that each EIS program or provider with findings of noncompliance identified in FFY 2022 and each EIS program or provider with remaining noncompliance identified in FFY 2021: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w:t>
      </w:r>
      <w:r w:rsidRPr="00ED172B">
        <w:rPr>
          <w:color w:val="000000" w:themeColor="text1"/>
        </w:rPr>
        <w:br/>
      </w:r>
      <w:r w:rsidRPr="00ED172B">
        <w:rPr>
          <w:color w:val="000000" w:themeColor="text1"/>
        </w:rPr>
        <w:br/>
        <w:t>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61E6D547" w14:textId="4D387AFA" w:rsidR="008203B4" w:rsidRPr="00ED172B" w:rsidRDefault="008203B4" w:rsidP="00B83404">
      <w:pPr>
        <w:rPr>
          <w:color w:val="000000" w:themeColor="text1"/>
        </w:rPr>
      </w:pPr>
      <w:r w:rsidRPr="00ED172B">
        <w:rPr>
          <w:b/>
          <w:color w:val="000000" w:themeColor="text1"/>
        </w:rPr>
        <w:t>Response to actions required in FFY 2022 SPP/APR</w:t>
      </w:r>
      <w:r w:rsidR="00950382" w:rsidRPr="00ED172B">
        <w:rPr>
          <w:color w:val="000000" w:themeColor="text1"/>
        </w:rPr>
        <w:t xml:space="preserve"> </w:t>
      </w:r>
    </w:p>
    <w:p w14:paraId="4E3E58E2" w14:textId="3B865535" w:rsidR="004C1CEE" w:rsidRPr="00ED172B" w:rsidRDefault="00320806" w:rsidP="00027F39">
      <w:pPr>
        <w:rPr>
          <w:color w:val="000000" w:themeColor="text1"/>
        </w:rPr>
      </w:pPr>
      <w:r w:rsidRPr="00ED172B">
        <w:rPr>
          <w:color w:val="000000" w:themeColor="text1"/>
        </w:rPr>
        <w:t xml:space="preserve">Louisiana verified that the agencies with cases of noncompliance for IFSPs with steps and services are now correctly implementing the regulatory requirements based on follow up reviews of IFSPs following the completion of Corrective Action Plans (CAP) and achieved 100% compliance.  The verification process, following completion of the CAP, involved review of IFSPs of children selected from the EIDS Transition Report. All IFSPs reviewed had steps and services to support child transition.  For the individual cases of noncompliance, regional coordinators contacted family support coordinators, contacted families and LEAs to verify that each child for whom an IFSP lacked steps and services successfully transitioned and reviewed closure reason in the EIDS data system. </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320806" w:rsidP="00320806">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 were collected accurately reflects data for infants and toddlers with IFSPs for the full reporting period.</w:t>
      </w: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8203B4" w:rsidP="00320806">
      <w:pPr>
        <w:rPr>
          <w:color w:val="000000" w:themeColor="text1"/>
        </w:rPr>
      </w:pP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lastRenderedPageBreak/>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1E641E45"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4873A31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14:paraId="0558F70E" w14:textId="66B1F570"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0AD2B5FF" w:rsidR="00D77E41"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D7A2FAD" w14:textId="549676A0" w:rsidR="00955129" w:rsidRPr="00EC51AB" w:rsidRDefault="00955129" w:rsidP="00D77E41">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0060440D" w:rsidRPr="00ED172B">
        <w:rPr>
          <w:color w:val="000000" w:themeColor="text1"/>
          <w:szCs w:val="16"/>
        </w:rPr>
        <w:t>§</w:t>
      </w:r>
      <w:r w:rsidRPr="00EC51AB">
        <w:rPr>
          <w:szCs w:val="16"/>
        </w:rPr>
        <w:t>303.209(d) and, as such, only children between 2 years 3 months and 2 years 9 months should be included in the denominator.</w:t>
      </w:r>
    </w:p>
    <w:p w14:paraId="569464D6" w14:textId="509C9DB3"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235AC05C"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14:paraId="49458D75" w14:textId="6B924536"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0C5095CD" w14:textId="41A1BA7A"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00BE1567" w:rsidR="00D77E41"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17413C61" w14:textId="1D3EA034" w:rsidR="00C1243C" w:rsidRPr="00EC51AB" w:rsidRDefault="00C1243C" w:rsidP="00D77E41">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2899"/>
        <w:gridCol w:w="875"/>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100.00%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684"/>
        <w:gridCol w:w="2022"/>
        <w:gridCol w:w="2022"/>
        <w:gridCol w:w="2022"/>
        <w:gridCol w:w="2022"/>
        <w:gridCol w:w="201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2CC40DB3" w14:textId="77777777" w:rsidTr="00A40EE1">
        <w:trPr>
          <w:trHeight w:val="357"/>
        </w:trPr>
        <w:tc>
          <w:tcPr>
            <w:tcW w:w="317" w:type="pct"/>
            <w:shd w:val="clear" w:color="auto" w:fill="auto"/>
          </w:tcPr>
          <w:p w14:paraId="23D9DCFF" w14:textId="6DF7F7F5"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3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679"/>
        <w:gridCol w:w="2400"/>
        <w:gridCol w:w="2567"/>
        <w:gridCol w:w="2567"/>
      </w:tblGrid>
      <w:tr w:rsidR="000A0569" w:rsidRPr="00ED172B" w14:paraId="02FB5FEC" w14:textId="0147A57A" w:rsidTr="00EC51AB">
        <w:trPr>
          <w:trHeight w:val="265"/>
        </w:trPr>
        <w:tc>
          <w:tcPr>
            <w:tcW w:w="394" w:type="pct"/>
            <w:tcBorders>
              <w:bottom w:val="single" w:sz="4" w:space="0" w:color="auto"/>
            </w:tcBorders>
            <w:shd w:val="clear" w:color="auto" w:fill="auto"/>
          </w:tcPr>
          <w:p w14:paraId="66965110" w14:textId="77777777" w:rsidR="000A0569" w:rsidRPr="00ED172B" w:rsidRDefault="000A0569" w:rsidP="00A74C59">
            <w:pPr>
              <w:jc w:val="center"/>
              <w:rPr>
                <w:b/>
                <w:color w:val="000000" w:themeColor="text1"/>
                <w:szCs w:val="16"/>
              </w:rPr>
            </w:pPr>
            <w:r w:rsidRPr="00ED172B">
              <w:rPr>
                <w:b/>
                <w:color w:val="000000" w:themeColor="text1"/>
                <w:szCs w:val="16"/>
              </w:rPr>
              <w:t>FFY</w:t>
            </w:r>
          </w:p>
        </w:tc>
        <w:tc>
          <w:tcPr>
            <w:tcW w:w="1468" w:type="pct"/>
            <w:shd w:val="clear" w:color="auto" w:fill="auto"/>
            <w:vAlign w:val="center"/>
          </w:tcPr>
          <w:p w14:paraId="2FB0CA2D" w14:textId="618E9216" w:rsidR="000A0569" w:rsidRPr="00ED172B" w:rsidRDefault="000A0569" w:rsidP="00A74C59">
            <w:pPr>
              <w:jc w:val="center"/>
              <w:rPr>
                <w:b/>
                <w:color w:val="000000" w:themeColor="text1"/>
                <w:szCs w:val="16"/>
              </w:rPr>
            </w:pPr>
            <w:r w:rsidRPr="00ED172B">
              <w:rPr>
                <w:rFonts w:cs="Arial"/>
                <w:b/>
                <w:color w:val="000000" w:themeColor="text1"/>
                <w:szCs w:val="16"/>
              </w:rPr>
              <w:t>2023</w:t>
            </w:r>
          </w:p>
        </w:tc>
        <w:tc>
          <w:tcPr>
            <w:tcW w:w="1569" w:type="pct"/>
          </w:tcPr>
          <w:p w14:paraId="34A3F497" w14:textId="71FBA966" w:rsidR="000A0569" w:rsidRPr="00ED172B" w:rsidRDefault="000A0569" w:rsidP="00A74C59">
            <w:pPr>
              <w:jc w:val="center"/>
              <w:rPr>
                <w:rFonts w:cs="Arial"/>
                <w:b/>
                <w:color w:val="000000" w:themeColor="text1"/>
                <w:szCs w:val="16"/>
              </w:rPr>
            </w:pPr>
            <w:r>
              <w:rPr>
                <w:rFonts w:cs="Arial"/>
                <w:b/>
                <w:color w:val="000000" w:themeColor="text1"/>
                <w:szCs w:val="16"/>
              </w:rPr>
              <w:t>2024</w:t>
            </w:r>
          </w:p>
        </w:tc>
        <w:tc>
          <w:tcPr>
            <w:tcW w:w="1569" w:type="pct"/>
          </w:tcPr>
          <w:p w14:paraId="10EB1256" w14:textId="5E9E9AED" w:rsidR="000A0569" w:rsidRPr="00ED172B" w:rsidRDefault="000A0569" w:rsidP="00A74C59">
            <w:pPr>
              <w:jc w:val="center"/>
              <w:rPr>
                <w:rFonts w:cs="Arial"/>
                <w:b/>
                <w:color w:val="000000" w:themeColor="text1"/>
                <w:szCs w:val="16"/>
              </w:rPr>
            </w:pPr>
            <w:r w:rsidRPr="005A1B4F">
              <w:rPr>
                <w:rFonts w:cs="Arial"/>
                <w:b/>
                <w:color w:val="000000" w:themeColor="text1"/>
                <w:szCs w:val="16"/>
              </w:rPr>
              <w:t>2025</w:t>
            </w:r>
          </w:p>
        </w:tc>
      </w:tr>
      <w:tr w:rsidR="000A0569" w:rsidRPr="00ED172B" w14:paraId="1880903D" w14:textId="5D794342" w:rsidTr="00EC51AB">
        <w:trPr>
          <w:trHeight w:val="270"/>
        </w:trPr>
        <w:tc>
          <w:tcPr>
            <w:tcW w:w="394" w:type="pct"/>
            <w:shd w:val="clear" w:color="auto" w:fill="auto"/>
          </w:tcPr>
          <w:p w14:paraId="009B82C2" w14:textId="77777777" w:rsidR="000A0569" w:rsidRPr="00ED172B" w:rsidRDefault="000A0569" w:rsidP="00D21F29">
            <w:pPr>
              <w:jc w:val="center"/>
              <w:rPr>
                <w:color w:val="000000" w:themeColor="text1"/>
                <w:szCs w:val="16"/>
              </w:rPr>
            </w:pPr>
            <w:r w:rsidRPr="00ED172B">
              <w:rPr>
                <w:color w:val="000000" w:themeColor="text1"/>
                <w:szCs w:val="16"/>
              </w:rPr>
              <w:t>Target</w:t>
            </w:r>
          </w:p>
        </w:tc>
        <w:tc>
          <w:tcPr>
            <w:tcW w:w="1468" w:type="pct"/>
            <w:shd w:val="clear" w:color="auto" w:fill="auto"/>
          </w:tcPr>
          <w:p w14:paraId="68F3EB6C" w14:textId="1DC405D3" w:rsidR="000A0569" w:rsidRPr="00ED172B" w:rsidRDefault="000A0569" w:rsidP="00A74C59">
            <w:pPr>
              <w:jc w:val="center"/>
              <w:rPr>
                <w:color w:val="000000" w:themeColor="text1"/>
                <w:szCs w:val="16"/>
              </w:rPr>
            </w:pPr>
            <w:r w:rsidRPr="00ED172B">
              <w:rPr>
                <w:color w:val="000000" w:themeColor="text1"/>
                <w:szCs w:val="16"/>
              </w:rPr>
              <w:t>100%</w:t>
            </w:r>
          </w:p>
        </w:tc>
        <w:tc>
          <w:tcPr>
            <w:tcW w:w="1569" w:type="pct"/>
          </w:tcPr>
          <w:p w14:paraId="1016327E" w14:textId="3AD6E01E" w:rsidR="000A0569" w:rsidRPr="00ED172B" w:rsidRDefault="000A0569" w:rsidP="00A74C59">
            <w:pPr>
              <w:jc w:val="center"/>
              <w:rPr>
                <w:color w:val="000000" w:themeColor="text1"/>
                <w:szCs w:val="16"/>
              </w:rPr>
            </w:pPr>
            <w:r>
              <w:rPr>
                <w:rFonts w:cs="Arial"/>
                <w:color w:val="000000" w:themeColor="text1"/>
                <w:szCs w:val="16"/>
              </w:rPr>
              <w:t>100%</w:t>
            </w:r>
          </w:p>
        </w:tc>
        <w:tc>
          <w:tcPr>
            <w:tcW w:w="1569" w:type="pct"/>
          </w:tcPr>
          <w:p w14:paraId="3E9BB463" w14:textId="1F36391F" w:rsidR="000A0569" w:rsidRPr="00ED172B" w:rsidRDefault="000A0569" w:rsidP="00A74C59">
            <w:pPr>
              <w:jc w:val="center"/>
              <w:rPr>
                <w:color w:val="000000" w:themeColor="text1"/>
                <w:szCs w:val="16"/>
              </w:rPr>
            </w:pPr>
            <w:r w:rsidRPr="005F5F3C">
              <w:rPr>
                <w:rFonts w:cs="Arial"/>
                <w:color w:val="000000" w:themeColor="text1"/>
                <w:szCs w:val="16"/>
              </w:rPr>
              <w:t>100%</w:t>
            </w:r>
          </w:p>
        </w:tc>
      </w:tr>
    </w:tbl>
    <w:p w14:paraId="621A396D" w14:textId="1747C279" w:rsidR="008E7B96" w:rsidRPr="00ED172B" w:rsidRDefault="00F22D09">
      <w:pPr>
        <w:rPr>
          <w:b/>
          <w:color w:val="000000" w:themeColor="text1"/>
        </w:rPr>
      </w:pPr>
      <w:r>
        <w:rPr>
          <w:b/>
          <w:color w:val="000000" w:themeColor="text1"/>
        </w:rPr>
        <w:t>FFY 2023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0A6E9C42" w:rsidR="00F939F8" w:rsidRPr="00ED172B" w:rsidRDefault="00CD74B5" w:rsidP="00F939F8">
            <w:pPr>
              <w:jc w:val="center"/>
              <w:rPr>
                <w:b/>
                <w:color w:val="000000" w:themeColor="text1"/>
                <w:szCs w:val="16"/>
              </w:rPr>
            </w:pPr>
            <w:r>
              <w:rPr>
                <w:rFonts w:cs="Arial"/>
                <w:b/>
                <w:color w:val="000000" w:themeColor="text1"/>
                <w:szCs w:val="16"/>
              </w:rPr>
              <w:t>FFY 2022 Data</w:t>
            </w:r>
          </w:p>
        </w:tc>
        <w:tc>
          <w:tcPr>
            <w:tcW w:w="625" w:type="pct"/>
            <w:shd w:val="clear" w:color="auto" w:fill="auto"/>
            <w:vAlign w:val="bottom"/>
          </w:tcPr>
          <w:p w14:paraId="6245781C" w14:textId="506D3F55" w:rsidR="00F939F8" w:rsidRPr="00ED172B" w:rsidRDefault="00F22D09" w:rsidP="00F939F8">
            <w:pPr>
              <w:jc w:val="center"/>
              <w:rPr>
                <w:b/>
                <w:color w:val="000000" w:themeColor="text1"/>
                <w:szCs w:val="16"/>
              </w:rPr>
            </w:pPr>
            <w:r>
              <w:rPr>
                <w:rFonts w:cs="Arial"/>
                <w:b/>
                <w:color w:val="000000" w:themeColor="text1"/>
                <w:szCs w:val="16"/>
              </w:rPr>
              <w:t>FFY 2023 Target</w:t>
            </w:r>
          </w:p>
        </w:tc>
        <w:tc>
          <w:tcPr>
            <w:tcW w:w="542" w:type="pct"/>
            <w:shd w:val="clear" w:color="auto" w:fill="auto"/>
            <w:vAlign w:val="bottom"/>
          </w:tcPr>
          <w:p w14:paraId="1E1DBF10" w14:textId="0A2371EE" w:rsidR="00F939F8" w:rsidRPr="00ED172B" w:rsidRDefault="00F22D09" w:rsidP="00F939F8">
            <w:pPr>
              <w:jc w:val="center"/>
              <w:rPr>
                <w:b/>
                <w:color w:val="000000" w:themeColor="text1"/>
                <w:szCs w:val="16"/>
              </w:rPr>
            </w:pPr>
            <w:r>
              <w:rPr>
                <w:rFonts w:cs="Arial"/>
                <w:b/>
                <w:color w:val="000000" w:themeColor="text1"/>
                <w:szCs w:val="16"/>
              </w:rPr>
              <w:t>FFY 2023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3,541</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3,541</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No Slippage</w:t>
            </w:r>
          </w:p>
        </w:tc>
      </w:tr>
    </w:tbl>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6775764A" w:rsidR="00C1714A" w:rsidRDefault="00C1714A" w:rsidP="00C1714A">
      <w:pPr>
        <w:rPr>
          <w:color w:val="000000" w:themeColor="text1"/>
          <w:szCs w:val="16"/>
        </w:rPr>
      </w:pPr>
    </w:p>
    <w:p w14:paraId="0352EFE6" w14:textId="77777777" w:rsidR="001F3FD2" w:rsidRDefault="001F3FD2" w:rsidP="001F3FD2">
      <w:pPr>
        <w:rPr>
          <w:rFonts w:cs="Arial"/>
          <w:b/>
          <w:color w:val="000000" w:themeColor="text1"/>
          <w:szCs w:val="16"/>
        </w:rPr>
      </w:pPr>
      <w:r w:rsidRPr="003739C5">
        <w:rPr>
          <w:rFonts w:cs="Arial"/>
          <w:b/>
          <w:color w:val="000000" w:themeColor="text1"/>
          <w:szCs w:val="16"/>
        </w:rPr>
        <w:t>Provide reasons for delay, if applicable.</w:t>
      </w:r>
    </w:p>
    <w:p w14:paraId="1FCA06B9" w14:textId="79637C57" w:rsidR="001F3FD2" w:rsidRPr="00ED172B" w:rsidRDefault="001F3FD2" w:rsidP="001F3FD2">
      <w:pPr>
        <w:rPr>
          <w:rFonts w:cs="Arial"/>
          <w:color w:val="000000" w:themeColor="text1"/>
          <w:szCs w:val="16"/>
        </w:rPr>
      </w:pPr>
    </w:p>
    <w:p w14:paraId="2047F371" w14:textId="77777777" w:rsidR="001F3FD2" w:rsidRPr="00ED172B" w:rsidRDefault="001F3FD2" w:rsidP="00C1714A">
      <w:pPr>
        <w:rPr>
          <w:rFonts w:cs="Arial"/>
          <w:color w:val="000000" w:themeColor="text1"/>
          <w:szCs w:val="16"/>
        </w:rPr>
      </w:pPr>
    </w:p>
    <w:p w14:paraId="5CC6B66B" w14:textId="51C85E21"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The EIDS Transition Report is pulled each month and used to send transition notification to the SEA and LEAs. This report of active children ages 2 years, 2 months through 3 years of age is sent to the Louisiana Department of Education (LDOE) monthly. The LDOE staff acknowledge receipt of the list, then disaggregates and sends the list to the appropriate Local Education Agency (LEA). The receiving LEA staff review the list and contact families to begin the eligibility determination process for Part B. Support Coordinators send the Transition Notification letter to the LEA the month a child turns 2 years 2 months. Discrepancies are discussed with the FSC agency and/or Regional Coordinator. Examples of identified discrepancies include the reporting of a child of the appropriate age whose case was closed when the notification was sent or an incorrect address or contact phone number by which to reach the family. In addition, the LDOE staff compares the lists with its data system to monitor timely completion of IEPs by the third birthday. Discrepancies for timely IEPs are resolved with each LEA according to the LDOE protocol.</w:t>
      </w:r>
      <w:r w:rsidRPr="00ED172B">
        <w:rPr>
          <w:color w:val="000000" w:themeColor="text1"/>
          <w:szCs w:val="16"/>
        </w:rPr>
        <w:br/>
        <w:t>Performance for this indicator is reported as 100%, since 100% of the active children within the age range are included in the submitted list. The total numbers of children vary each month as the ages of the children change and names are duplicated throughout the age range period.  The average of 3541 names per month, including duplicates, was received by the LDOE and is the number used to calculate performance for this indicator. All names are sent, regardless of the child's potential Part B status, since the EarlySteps eligibility requirements are more restrictive than Louisiana's Part B eligibility, all children are presumed Part B eligible for purposes of this notification.</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NO</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database</w:t>
      </w:r>
    </w:p>
    <w:p w14:paraId="107C7D72" w14:textId="2784E578"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12E53171" w14:textId="271EAFE5" w:rsidR="000709B9" w:rsidRPr="00ED172B" w:rsidRDefault="00860830" w:rsidP="000709B9">
      <w:pPr>
        <w:rPr>
          <w:color w:val="000000" w:themeColor="text1"/>
        </w:rPr>
      </w:pPr>
      <w:r w:rsidRPr="00ED172B">
        <w:rPr>
          <w:color w:val="000000" w:themeColor="text1"/>
        </w:rPr>
        <w:t>As described above, the data reported is an average of the number of children on the list sent to the State Education Agency and Local Education Agency each month of the reporting period.</w:t>
      </w:r>
    </w:p>
    <w:p w14:paraId="7DA68A46" w14:textId="0572035E"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7913918B" w14:textId="1A88B429" w:rsidR="000709B9" w:rsidRDefault="00860830" w:rsidP="000709B9">
      <w:pPr>
        <w:rPr>
          <w:rFonts w:cs="Arial"/>
          <w:color w:val="000000" w:themeColor="text1"/>
          <w:szCs w:val="16"/>
        </w:rPr>
      </w:pPr>
      <w:r w:rsidRPr="00ED172B">
        <w:rPr>
          <w:rFonts w:cs="Arial"/>
          <w:color w:val="000000" w:themeColor="text1"/>
          <w:szCs w:val="16"/>
        </w:rPr>
        <w:t>The EIDS Transition Report provides all active children between 2 years, 2 months and 3 years of age, so the data includes all children in the system each month.</w:t>
      </w:r>
    </w:p>
    <w:p w14:paraId="608340F2" w14:textId="0ECFEC2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3A3693" w:rsidP="003A3693">
      <w:pPr>
        <w:rPr>
          <w:rFonts w:cs="Arial"/>
          <w:color w:val="000000" w:themeColor="text1"/>
          <w:szCs w:val="16"/>
        </w:rPr>
      </w:pPr>
    </w:p>
    <w:p w14:paraId="6D5F3961" w14:textId="770AB17E" w:rsidR="008203B4" w:rsidRPr="00ED172B" w:rsidRDefault="008203B4"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8BPFFYNCFINDINGS"/>
      </w:tblPr>
      <w:tblGrid>
        <w:gridCol w:w="2610"/>
        <w:gridCol w:w="2741"/>
        <w:gridCol w:w="2618"/>
        <w:gridCol w:w="2821"/>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203B4" w:rsidP="00ED172B">
            <w:pPr>
              <w:jc w:val="center"/>
              <w:rPr>
                <w:rFonts w:cs="Arial"/>
                <w:color w:val="000000" w:themeColor="text1"/>
                <w:szCs w:val="16"/>
              </w:rPr>
            </w:pPr>
          </w:p>
        </w:tc>
        <w:tc>
          <w:tcPr>
            <w:tcW w:w="1270" w:type="pct"/>
            <w:shd w:val="clear" w:color="auto" w:fill="auto"/>
          </w:tcPr>
          <w:p w14:paraId="6146CAAF" w14:textId="53F3D613" w:rsidR="008203B4" w:rsidRPr="00ED172B" w:rsidRDefault="008203B4" w:rsidP="00ED172B">
            <w:pPr>
              <w:jc w:val="center"/>
              <w:rPr>
                <w:rFonts w:cs="Arial"/>
                <w:color w:val="000000" w:themeColor="text1"/>
                <w:szCs w:val="16"/>
              </w:rPr>
            </w:pPr>
          </w:p>
        </w:tc>
        <w:tc>
          <w:tcPr>
            <w:tcW w:w="1213" w:type="pct"/>
            <w:shd w:val="clear" w:color="auto" w:fill="auto"/>
          </w:tcPr>
          <w:p w14:paraId="73DA7B08" w14:textId="5CC5A5B0" w:rsidR="008203B4" w:rsidRPr="00ED172B" w:rsidRDefault="008203B4" w:rsidP="00ED172B">
            <w:pPr>
              <w:jc w:val="center"/>
              <w:rPr>
                <w:rFonts w:cs="Arial"/>
                <w:color w:val="000000" w:themeColor="text1"/>
                <w:szCs w:val="16"/>
              </w:rPr>
            </w:pPr>
          </w:p>
        </w:tc>
        <w:tc>
          <w:tcPr>
            <w:tcW w:w="1308" w:type="pct"/>
            <w:shd w:val="clear" w:color="auto" w:fill="auto"/>
          </w:tcPr>
          <w:p w14:paraId="1FAECB7C" w14:textId="288F3E14" w:rsidR="008203B4" w:rsidRPr="00ED172B" w:rsidRDefault="008203B4" w:rsidP="00EC51AB">
            <w:pPr>
              <w:jc w:val="center"/>
              <w:rPr>
                <w:rFonts w:cs="Arial"/>
                <w:color w:val="000000" w:themeColor="text1"/>
                <w:szCs w:val="16"/>
              </w:rPr>
            </w:pPr>
          </w:p>
        </w:tc>
      </w:tr>
    </w:tbl>
    <w:p w14:paraId="1AAE6B0A" w14:textId="1220969E" w:rsidR="008203B4" w:rsidRPr="00ED172B" w:rsidRDefault="008203B4"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8BPPFFYNCFINDINGS"/>
      </w:tblPr>
      <w:tblGrid>
        <w:gridCol w:w="2005"/>
        <w:gridCol w:w="3185"/>
        <w:gridCol w:w="2857"/>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lastRenderedPageBreak/>
              <w:t>Year Findings of Noncompliance Were Identified</w:t>
            </w:r>
          </w:p>
        </w:tc>
        <w:tc>
          <w:tcPr>
            <w:tcW w:w="1476" w:type="pct"/>
            <w:shd w:val="clear" w:color="auto" w:fill="auto"/>
            <w:vAlign w:val="bottom"/>
          </w:tcPr>
          <w:p w14:paraId="19DBD567" w14:textId="073ED3B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203B4" w:rsidP="00D21F29">
            <w:pPr>
              <w:jc w:val="center"/>
              <w:rPr>
                <w:rFonts w:cs="Arial"/>
                <w:color w:val="000000" w:themeColor="text1"/>
                <w:szCs w:val="16"/>
              </w:rPr>
            </w:pPr>
          </w:p>
        </w:tc>
        <w:tc>
          <w:tcPr>
            <w:tcW w:w="1476" w:type="pct"/>
            <w:shd w:val="clear" w:color="auto" w:fill="auto"/>
          </w:tcPr>
          <w:p w14:paraId="18EE6A2D" w14:textId="2B02CD87" w:rsidR="008203B4" w:rsidRPr="00ED172B" w:rsidRDefault="008203B4" w:rsidP="00CD79C5">
            <w:pPr>
              <w:jc w:val="center"/>
              <w:rPr>
                <w:rFonts w:cs="Arial"/>
                <w:noProof/>
                <w:color w:val="000000" w:themeColor="text1"/>
                <w:szCs w:val="16"/>
              </w:rPr>
            </w:pPr>
          </w:p>
        </w:tc>
        <w:tc>
          <w:tcPr>
            <w:tcW w:w="1324" w:type="pct"/>
            <w:shd w:val="clear" w:color="auto" w:fill="auto"/>
          </w:tcPr>
          <w:p w14:paraId="0D6BF82C" w14:textId="259370D0" w:rsidR="008203B4" w:rsidRPr="00ED172B" w:rsidRDefault="008203B4" w:rsidP="00CD79C5">
            <w:pPr>
              <w:jc w:val="center"/>
              <w:rPr>
                <w:rFonts w:cs="Arial"/>
                <w:noProof/>
                <w:color w:val="000000" w:themeColor="text1"/>
                <w:szCs w:val="16"/>
              </w:rPr>
            </w:pPr>
          </w:p>
        </w:tc>
        <w:tc>
          <w:tcPr>
            <w:tcW w:w="1271" w:type="pct"/>
            <w:shd w:val="clear" w:color="auto" w:fill="auto"/>
          </w:tcPr>
          <w:p w14:paraId="021C6FD4" w14:textId="245B9AF4" w:rsidR="008203B4" w:rsidRPr="00ED172B" w:rsidRDefault="008203B4" w:rsidP="00CD79C5">
            <w:pPr>
              <w:jc w:val="center"/>
              <w:rPr>
                <w:rFonts w:cs="Arial"/>
                <w:noProof/>
                <w:color w:val="000000" w:themeColor="text1"/>
                <w:szCs w:val="16"/>
              </w:rPr>
            </w:pPr>
          </w:p>
        </w:tc>
      </w:tr>
      <w:tr w:rsidR="00ED172B" w:rsidRPr="00ED172B" w14:paraId="6E9AA680" w14:textId="77777777" w:rsidTr="00986B99">
        <w:tc>
          <w:tcPr>
            <w:tcW w:w="929" w:type="pct"/>
            <w:shd w:val="clear" w:color="auto" w:fill="auto"/>
          </w:tcPr>
          <w:p w14:paraId="09F9027D" w14:textId="69544FBD" w:rsidR="008203B4" w:rsidRPr="00ED172B" w:rsidRDefault="008203B4" w:rsidP="00D21F29">
            <w:pPr>
              <w:jc w:val="center"/>
              <w:rPr>
                <w:rFonts w:cs="Arial"/>
                <w:color w:val="000000" w:themeColor="text1"/>
                <w:szCs w:val="16"/>
              </w:rPr>
            </w:pPr>
          </w:p>
        </w:tc>
        <w:tc>
          <w:tcPr>
            <w:tcW w:w="1476" w:type="pct"/>
            <w:shd w:val="clear" w:color="auto" w:fill="auto"/>
          </w:tcPr>
          <w:p w14:paraId="30E1255E" w14:textId="62840257" w:rsidR="008203B4" w:rsidRPr="00ED172B" w:rsidRDefault="008203B4" w:rsidP="00CD79C5">
            <w:pPr>
              <w:jc w:val="center"/>
              <w:rPr>
                <w:rFonts w:cs="Arial"/>
                <w:noProof/>
                <w:color w:val="000000" w:themeColor="text1"/>
                <w:szCs w:val="16"/>
              </w:rPr>
            </w:pPr>
          </w:p>
        </w:tc>
        <w:tc>
          <w:tcPr>
            <w:tcW w:w="1324" w:type="pct"/>
            <w:shd w:val="clear" w:color="auto" w:fill="auto"/>
          </w:tcPr>
          <w:p w14:paraId="48634437" w14:textId="19C6DF89" w:rsidR="008203B4" w:rsidRPr="00ED172B" w:rsidRDefault="008203B4" w:rsidP="00CD79C5">
            <w:pPr>
              <w:jc w:val="center"/>
              <w:rPr>
                <w:rFonts w:cs="Arial"/>
                <w:noProof/>
                <w:color w:val="000000" w:themeColor="text1"/>
                <w:szCs w:val="16"/>
              </w:rPr>
            </w:pPr>
          </w:p>
        </w:tc>
        <w:tc>
          <w:tcPr>
            <w:tcW w:w="1271" w:type="pct"/>
            <w:shd w:val="clear" w:color="auto" w:fill="auto"/>
          </w:tcPr>
          <w:p w14:paraId="233CCD3F" w14:textId="7D7A4788" w:rsidR="008203B4" w:rsidRPr="00ED172B" w:rsidRDefault="008203B4" w:rsidP="00CD79C5">
            <w:pPr>
              <w:jc w:val="center"/>
              <w:rPr>
                <w:rFonts w:cs="Arial"/>
                <w:noProof/>
                <w:color w:val="000000" w:themeColor="text1"/>
                <w:szCs w:val="16"/>
              </w:rPr>
            </w:pPr>
          </w:p>
        </w:tc>
      </w:tr>
      <w:tr w:rsidR="00ED172B" w:rsidRPr="00ED172B" w14:paraId="6101D2C3" w14:textId="77777777" w:rsidTr="00986B99">
        <w:tc>
          <w:tcPr>
            <w:tcW w:w="929" w:type="pct"/>
            <w:shd w:val="clear" w:color="auto" w:fill="auto"/>
          </w:tcPr>
          <w:p w14:paraId="3DF27AAE" w14:textId="57173885" w:rsidR="008203B4" w:rsidRPr="00ED172B" w:rsidRDefault="008203B4" w:rsidP="00D21F29">
            <w:pPr>
              <w:jc w:val="center"/>
              <w:rPr>
                <w:rFonts w:cs="Arial"/>
                <w:color w:val="000000" w:themeColor="text1"/>
                <w:szCs w:val="16"/>
              </w:rPr>
            </w:pPr>
          </w:p>
        </w:tc>
        <w:tc>
          <w:tcPr>
            <w:tcW w:w="1476" w:type="pct"/>
            <w:shd w:val="clear" w:color="auto" w:fill="auto"/>
          </w:tcPr>
          <w:p w14:paraId="1A593A8F" w14:textId="30E039EF" w:rsidR="008203B4" w:rsidRPr="00ED172B" w:rsidRDefault="008203B4" w:rsidP="00CD79C5">
            <w:pPr>
              <w:jc w:val="center"/>
              <w:rPr>
                <w:rFonts w:cs="Arial"/>
                <w:noProof/>
                <w:color w:val="000000" w:themeColor="text1"/>
                <w:szCs w:val="16"/>
              </w:rPr>
            </w:pPr>
          </w:p>
        </w:tc>
        <w:tc>
          <w:tcPr>
            <w:tcW w:w="1324" w:type="pct"/>
            <w:shd w:val="clear" w:color="auto" w:fill="auto"/>
          </w:tcPr>
          <w:p w14:paraId="6C282F27" w14:textId="22019EAC" w:rsidR="008203B4" w:rsidRPr="00ED172B" w:rsidRDefault="008203B4" w:rsidP="00CD79C5">
            <w:pPr>
              <w:jc w:val="center"/>
              <w:rPr>
                <w:rFonts w:cs="Arial"/>
                <w:noProof/>
                <w:color w:val="000000" w:themeColor="text1"/>
                <w:szCs w:val="16"/>
              </w:rPr>
            </w:pPr>
          </w:p>
        </w:tc>
        <w:tc>
          <w:tcPr>
            <w:tcW w:w="1271" w:type="pct"/>
            <w:shd w:val="clear" w:color="auto" w:fill="auto"/>
          </w:tcPr>
          <w:p w14:paraId="5CA5D5A4" w14:textId="3330E222" w:rsidR="008203B4" w:rsidRPr="00ED172B" w:rsidRDefault="008203B4" w:rsidP="00CD79C5">
            <w:pPr>
              <w:jc w:val="center"/>
              <w:rPr>
                <w:rFonts w:cs="Arial"/>
                <w:noProof/>
                <w:color w:val="000000" w:themeColor="text1"/>
                <w:szCs w:val="16"/>
              </w:rPr>
            </w:pPr>
          </w:p>
        </w:tc>
      </w:tr>
      <w:tr w:rsidR="00422BEE" w:rsidRPr="00ED172B" w14:paraId="09E2C04F" w14:textId="77777777" w:rsidTr="00986B99">
        <w:tc>
          <w:tcPr>
            <w:tcW w:w="929" w:type="pct"/>
            <w:shd w:val="clear" w:color="auto" w:fill="auto"/>
          </w:tcPr>
          <w:p w14:paraId="00537DC9" w14:textId="44D75868" w:rsidR="00422BEE" w:rsidRPr="00ED172B" w:rsidRDefault="00422BEE" w:rsidP="00D21F29">
            <w:pPr>
              <w:jc w:val="center"/>
              <w:rPr>
                <w:rFonts w:cs="Arial"/>
                <w:color w:val="000000" w:themeColor="text1"/>
                <w:szCs w:val="16"/>
              </w:rPr>
            </w:pPr>
          </w:p>
        </w:tc>
        <w:tc>
          <w:tcPr>
            <w:tcW w:w="1476" w:type="pct"/>
            <w:shd w:val="clear" w:color="auto" w:fill="auto"/>
          </w:tcPr>
          <w:p w14:paraId="1E0D45D6" w14:textId="3A34773C" w:rsidR="00422BEE" w:rsidRPr="00ED172B" w:rsidRDefault="00422BEE" w:rsidP="00422BEE">
            <w:pPr>
              <w:jc w:val="center"/>
              <w:rPr>
                <w:rFonts w:cs="Arial"/>
                <w:color w:val="000000" w:themeColor="text1"/>
                <w:szCs w:val="16"/>
              </w:rPr>
            </w:pPr>
          </w:p>
        </w:tc>
        <w:tc>
          <w:tcPr>
            <w:tcW w:w="1324" w:type="pct"/>
            <w:shd w:val="clear" w:color="auto" w:fill="auto"/>
          </w:tcPr>
          <w:p w14:paraId="7E3CF6F6" w14:textId="661AA01A" w:rsidR="00422BEE" w:rsidRPr="00ED172B" w:rsidRDefault="00422BEE" w:rsidP="00422BEE">
            <w:pPr>
              <w:jc w:val="center"/>
              <w:rPr>
                <w:rFonts w:cs="Arial"/>
                <w:color w:val="000000" w:themeColor="text1"/>
                <w:szCs w:val="16"/>
              </w:rPr>
            </w:pPr>
          </w:p>
        </w:tc>
        <w:tc>
          <w:tcPr>
            <w:tcW w:w="1271" w:type="pct"/>
            <w:shd w:val="clear" w:color="auto" w:fill="auto"/>
          </w:tcPr>
          <w:p w14:paraId="03DB29E4" w14:textId="4909658A" w:rsidR="00422BEE" w:rsidRPr="00ED172B" w:rsidRDefault="00422BEE" w:rsidP="00422BEE">
            <w:pPr>
              <w:jc w:val="center"/>
              <w:rPr>
                <w:rFonts w:cs="Arial"/>
                <w:color w:val="000000" w:themeColor="text1"/>
                <w:szCs w:val="16"/>
              </w:rPr>
            </w:pPr>
          </w:p>
        </w:tc>
      </w:tr>
      <w:tr w:rsidR="00422BEE" w:rsidRPr="00ED172B" w14:paraId="315C7B6E" w14:textId="77777777" w:rsidTr="00986B99">
        <w:tc>
          <w:tcPr>
            <w:tcW w:w="929" w:type="pct"/>
            <w:shd w:val="clear" w:color="auto" w:fill="auto"/>
          </w:tcPr>
          <w:p w14:paraId="4D88A348" w14:textId="7FDC3505" w:rsidR="00422BEE" w:rsidRPr="00ED172B" w:rsidRDefault="00422BEE" w:rsidP="00D21F29">
            <w:pPr>
              <w:jc w:val="center"/>
              <w:rPr>
                <w:rFonts w:cs="Arial"/>
                <w:color w:val="000000" w:themeColor="text1"/>
                <w:szCs w:val="16"/>
              </w:rPr>
            </w:pPr>
          </w:p>
        </w:tc>
        <w:tc>
          <w:tcPr>
            <w:tcW w:w="1476" w:type="pct"/>
            <w:shd w:val="clear" w:color="auto" w:fill="auto"/>
          </w:tcPr>
          <w:p w14:paraId="0DECE723" w14:textId="533FA631" w:rsidR="00422BEE" w:rsidRPr="00ED172B" w:rsidRDefault="00422BEE" w:rsidP="00422BEE">
            <w:pPr>
              <w:jc w:val="center"/>
              <w:rPr>
                <w:rFonts w:cs="Arial"/>
                <w:color w:val="000000" w:themeColor="text1"/>
                <w:szCs w:val="16"/>
              </w:rPr>
            </w:pPr>
          </w:p>
        </w:tc>
        <w:tc>
          <w:tcPr>
            <w:tcW w:w="1324" w:type="pct"/>
            <w:shd w:val="clear" w:color="auto" w:fill="auto"/>
          </w:tcPr>
          <w:p w14:paraId="546BE55B" w14:textId="3A092DCE" w:rsidR="00422BEE" w:rsidRPr="00ED172B" w:rsidRDefault="00422BEE" w:rsidP="00422BEE">
            <w:pPr>
              <w:jc w:val="center"/>
              <w:rPr>
                <w:rFonts w:cs="Arial"/>
                <w:color w:val="000000" w:themeColor="text1"/>
                <w:szCs w:val="16"/>
              </w:rPr>
            </w:pPr>
          </w:p>
        </w:tc>
        <w:tc>
          <w:tcPr>
            <w:tcW w:w="1271" w:type="pct"/>
            <w:shd w:val="clear" w:color="auto" w:fill="auto"/>
          </w:tcPr>
          <w:p w14:paraId="4A4AC460" w14:textId="6246F9AE" w:rsidR="00422BEE" w:rsidRPr="00ED172B" w:rsidRDefault="00422BEE" w:rsidP="00422BEE">
            <w:pPr>
              <w:jc w:val="center"/>
              <w:rPr>
                <w:rFonts w:cs="Arial"/>
                <w:color w:val="000000" w:themeColor="text1"/>
                <w:szCs w:val="16"/>
              </w:rPr>
            </w:pPr>
          </w:p>
        </w:tc>
      </w:tr>
    </w:tbl>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None</w:t>
      </w:r>
    </w:p>
    <w:p w14:paraId="6A49C335" w14:textId="11A5537D" w:rsidR="008203B4" w:rsidRPr="00A40EE1" w:rsidRDefault="000D0117" w:rsidP="007B0787">
      <w:pPr>
        <w:pStyle w:val="Heading2"/>
      </w:pPr>
      <w:r w:rsidRPr="00A40EE1">
        <w:t xml:space="preserve">8B - </w:t>
      </w:r>
      <w:r w:rsidR="008203B4" w:rsidRPr="00A40EE1">
        <w:t>OSEP Response</w:t>
      </w:r>
    </w:p>
    <w:p w14:paraId="2AD2C922" w14:textId="1A8CB9FF" w:rsidR="008203B4" w:rsidRPr="00ED172B" w:rsidRDefault="008203B4" w:rsidP="00320806">
      <w:pPr>
        <w:rPr>
          <w:color w:val="000000" w:themeColor="text1"/>
        </w:rPr>
      </w:pP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8203B4" w:rsidP="00320806">
      <w:pPr>
        <w:rPr>
          <w:color w:val="000000" w:themeColor="text1"/>
        </w:rPr>
      </w:pP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lastRenderedPageBreak/>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01E9F378"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52AE52C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6AE1490A" w:rsidR="00D77E41"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1022D3E" w14:textId="29D6969E" w:rsidR="0060440D" w:rsidRPr="00EC51AB" w:rsidRDefault="0060440D" w:rsidP="00D77E41">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Pr="00ED172B">
        <w:rPr>
          <w:color w:val="000000" w:themeColor="text1"/>
          <w:szCs w:val="16"/>
        </w:rPr>
        <w:t>§</w:t>
      </w:r>
      <w:r w:rsidRPr="00EC51AB">
        <w:rPr>
          <w:szCs w:val="16"/>
        </w:rPr>
        <w:t>303.209(d) and, as such, only children between 2 years 3 months and 2 years 9 months should be included in the denominator.</w:t>
      </w:r>
    </w:p>
    <w:p w14:paraId="7CDA386C" w14:textId="5FBBE7C3"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46B709AB"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14:paraId="35DB145D" w14:textId="76FAB930"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30A90D40" w14:textId="747BAC3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7C0C4083" w:rsidR="00D77E41"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398A899B" w14:textId="404037CB" w:rsidR="00C1243C" w:rsidRPr="00EC51AB" w:rsidRDefault="00C1243C" w:rsidP="00D77E41">
      <w:pPr>
        <w:rPr>
          <w:szCs w:val="16"/>
        </w:rPr>
      </w:pPr>
      <w:r w:rsidRPr="005263E4">
        <w:rPr>
          <w:szCs w:val="16"/>
        </w:rPr>
        <w:t>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2899"/>
        <w:gridCol w:w="875"/>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96.00%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684"/>
        <w:gridCol w:w="2022"/>
        <w:gridCol w:w="2022"/>
        <w:gridCol w:w="2022"/>
        <w:gridCol w:w="2022"/>
        <w:gridCol w:w="201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2022</w:t>
            </w:r>
          </w:p>
        </w:tc>
      </w:tr>
      <w:tr w:rsidR="00ED172B" w:rsidRPr="00ED172B" w14:paraId="7BEE33EE" w14:textId="77777777" w:rsidTr="00A40EE1">
        <w:trPr>
          <w:trHeight w:val="357"/>
        </w:trPr>
        <w:tc>
          <w:tcPr>
            <w:tcW w:w="317" w:type="pct"/>
            <w:shd w:val="clear" w:color="auto" w:fill="auto"/>
          </w:tcPr>
          <w:p w14:paraId="1B969246" w14:textId="74F4A18D"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95.42%</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96.51%</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95.18%</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94.94%</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93.55%</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3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679"/>
        <w:gridCol w:w="2400"/>
        <w:gridCol w:w="2566"/>
        <w:gridCol w:w="2566"/>
      </w:tblGrid>
      <w:tr w:rsidR="000A0569" w:rsidRPr="00ED172B" w14:paraId="4A0A94D5" w14:textId="2110C8A4" w:rsidTr="00EC51AB">
        <w:trPr>
          <w:trHeight w:val="328"/>
        </w:trPr>
        <w:tc>
          <w:tcPr>
            <w:tcW w:w="392" w:type="pct"/>
            <w:tcBorders>
              <w:bottom w:val="single" w:sz="4" w:space="0" w:color="auto"/>
            </w:tcBorders>
            <w:shd w:val="clear" w:color="auto" w:fill="auto"/>
          </w:tcPr>
          <w:p w14:paraId="313F5767" w14:textId="77777777" w:rsidR="000A0569" w:rsidRPr="00ED172B" w:rsidRDefault="000A0569" w:rsidP="00A74C59">
            <w:pPr>
              <w:jc w:val="center"/>
              <w:rPr>
                <w:b/>
                <w:color w:val="000000" w:themeColor="text1"/>
                <w:szCs w:val="16"/>
              </w:rPr>
            </w:pPr>
            <w:r w:rsidRPr="00ED172B">
              <w:rPr>
                <w:b/>
                <w:color w:val="000000" w:themeColor="text1"/>
                <w:szCs w:val="16"/>
              </w:rPr>
              <w:t>FFY</w:t>
            </w:r>
          </w:p>
        </w:tc>
        <w:tc>
          <w:tcPr>
            <w:tcW w:w="1469" w:type="pct"/>
            <w:shd w:val="clear" w:color="auto" w:fill="auto"/>
            <w:vAlign w:val="center"/>
          </w:tcPr>
          <w:p w14:paraId="6608DBF0" w14:textId="3185DA2A" w:rsidR="000A0569" w:rsidRPr="00ED172B" w:rsidRDefault="000A0569" w:rsidP="00A74C59">
            <w:pPr>
              <w:jc w:val="center"/>
              <w:rPr>
                <w:b/>
                <w:color w:val="000000" w:themeColor="text1"/>
                <w:szCs w:val="16"/>
              </w:rPr>
            </w:pPr>
            <w:r w:rsidRPr="00ED172B">
              <w:rPr>
                <w:rFonts w:cs="Arial"/>
                <w:b/>
                <w:color w:val="000000" w:themeColor="text1"/>
                <w:szCs w:val="16"/>
              </w:rPr>
              <w:t>2023</w:t>
            </w:r>
          </w:p>
        </w:tc>
        <w:tc>
          <w:tcPr>
            <w:tcW w:w="1570" w:type="pct"/>
          </w:tcPr>
          <w:p w14:paraId="1BEDEEFC" w14:textId="6DD58D98" w:rsidR="000A0569" w:rsidRPr="00ED172B" w:rsidRDefault="000A0569" w:rsidP="00A74C59">
            <w:pPr>
              <w:jc w:val="center"/>
              <w:rPr>
                <w:rFonts w:cs="Arial"/>
                <w:b/>
                <w:color w:val="000000" w:themeColor="text1"/>
                <w:szCs w:val="16"/>
              </w:rPr>
            </w:pPr>
            <w:r>
              <w:rPr>
                <w:rFonts w:cs="Arial"/>
                <w:b/>
                <w:color w:val="000000" w:themeColor="text1"/>
                <w:szCs w:val="16"/>
              </w:rPr>
              <w:t>2024</w:t>
            </w:r>
          </w:p>
        </w:tc>
        <w:tc>
          <w:tcPr>
            <w:tcW w:w="1570" w:type="pct"/>
          </w:tcPr>
          <w:p w14:paraId="11F5F4E5" w14:textId="34A5E91F" w:rsidR="000A0569" w:rsidRPr="00ED172B" w:rsidRDefault="000A0569" w:rsidP="00A74C59">
            <w:pPr>
              <w:jc w:val="center"/>
              <w:rPr>
                <w:rFonts w:cs="Arial"/>
                <w:b/>
                <w:color w:val="000000" w:themeColor="text1"/>
                <w:szCs w:val="16"/>
              </w:rPr>
            </w:pPr>
            <w:r w:rsidRPr="005A1B4F">
              <w:rPr>
                <w:rFonts w:cs="Arial"/>
                <w:b/>
                <w:color w:val="000000" w:themeColor="text1"/>
                <w:szCs w:val="16"/>
              </w:rPr>
              <w:t>2025</w:t>
            </w:r>
          </w:p>
        </w:tc>
      </w:tr>
      <w:tr w:rsidR="000A0569" w:rsidRPr="00ED172B" w14:paraId="330A4207" w14:textId="28309058" w:rsidTr="00EC51AB">
        <w:trPr>
          <w:trHeight w:val="334"/>
        </w:trPr>
        <w:tc>
          <w:tcPr>
            <w:tcW w:w="392" w:type="pct"/>
            <w:shd w:val="clear" w:color="auto" w:fill="auto"/>
          </w:tcPr>
          <w:p w14:paraId="12FC7A89" w14:textId="77777777" w:rsidR="000A0569" w:rsidRPr="00ED172B" w:rsidRDefault="000A0569" w:rsidP="00D21F29">
            <w:pPr>
              <w:jc w:val="center"/>
              <w:rPr>
                <w:color w:val="000000" w:themeColor="text1"/>
                <w:szCs w:val="16"/>
              </w:rPr>
            </w:pPr>
            <w:r w:rsidRPr="00ED172B">
              <w:rPr>
                <w:color w:val="000000" w:themeColor="text1"/>
                <w:szCs w:val="16"/>
              </w:rPr>
              <w:t>Target</w:t>
            </w:r>
          </w:p>
        </w:tc>
        <w:tc>
          <w:tcPr>
            <w:tcW w:w="1469" w:type="pct"/>
            <w:shd w:val="clear" w:color="auto" w:fill="auto"/>
          </w:tcPr>
          <w:p w14:paraId="7AF5945C" w14:textId="2C6978AD" w:rsidR="000A0569" w:rsidRPr="00ED172B" w:rsidRDefault="000A0569" w:rsidP="00A74C59">
            <w:pPr>
              <w:jc w:val="center"/>
              <w:rPr>
                <w:color w:val="000000" w:themeColor="text1"/>
                <w:szCs w:val="16"/>
              </w:rPr>
            </w:pPr>
            <w:r w:rsidRPr="00ED172B">
              <w:rPr>
                <w:color w:val="000000" w:themeColor="text1"/>
                <w:szCs w:val="16"/>
              </w:rPr>
              <w:t>100%</w:t>
            </w:r>
          </w:p>
        </w:tc>
        <w:tc>
          <w:tcPr>
            <w:tcW w:w="1570" w:type="pct"/>
          </w:tcPr>
          <w:p w14:paraId="6A1E3CBC" w14:textId="7AF93675" w:rsidR="000A0569" w:rsidRPr="00ED172B" w:rsidRDefault="000A0569" w:rsidP="00A74C59">
            <w:pPr>
              <w:jc w:val="center"/>
              <w:rPr>
                <w:color w:val="000000" w:themeColor="text1"/>
                <w:szCs w:val="16"/>
              </w:rPr>
            </w:pPr>
            <w:r>
              <w:rPr>
                <w:rFonts w:cs="Arial"/>
                <w:color w:val="000000" w:themeColor="text1"/>
                <w:szCs w:val="16"/>
              </w:rPr>
              <w:t>100%</w:t>
            </w:r>
          </w:p>
        </w:tc>
        <w:tc>
          <w:tcPr>
            <w:tcW w:w="1570" w:type="pct"/>
          </w:tcPr>
          <w:p w14:paraId="250CDE0D" w14:textId="2C29838D" w:rsidR="000A0569" w:rsidRPr="00ED172B" w:rsidRDefault="000A0569" w:rsidP="00A74C59">
            <w:pPr>
              <w:jc w:val="center"/>
              <w:rPr>
                <w:color w:val="000000" w:themeColor="text1"/>
                <w:szCs w:val="16"/>
              </w:rPr>
            </w:pPr>
            <w:r w:rsidRPr="005F5F3C">
              <w:rPr>
                <w:rFonts w:cs="Arial"/>
                <w:color w:val="000000" w:themeColor="text1"/>
                <w:szCs w:val="16"/>
              </w:rPr>
              <w:t>100%</w:t>
            </w:r>
          </w:p>
        </w:tc>
      </w:tr>
    </w:tbl>
    <w:p w14:paraId="4A23C4F7" w14:textId="7D13E6A9" w:rsidR="003C1AB9" w:rsidRPr="00ED172B" w:rsidRDefault="00F22D09">
      <w:pPr>
        <w:rPr>
          <w:b/>
          <w:color w:val="000000" w:themeColor="text1"/>
        </w:rPr>
      </w:pPr>
      <w:r>
        <w:rPr>
          <w:b/>
          <w:color w:val="000000" w:themeColor="text1"/>
        </w:rPr>
        <w:t>FFY 2023 SPP/APR Data</w:t>
      </w:r>
    </w:p>
    <w:p w14:paraId="4035DB23" w14:textId="2579973B" w:rsidR="00D3572A" w:rsidRPr="00ED172B" w:rsidRDefault="00D3572A">
      <w:pPr>
        <w:rPr>
          <w:b/>
          <w:color w:val="000000" w:themeColor="text1"/>
          <w:szCs w:val="16"/>
        </w:rPr>
      </w:pPr>
      <w:r w:rsidRPr="00ED172B">
        <w:rPr>
          <w:b/>
          <w:color w:val="000000" w:themeColor="text1"/>
          <w:szCs w:val="16"/>
        </w:rPr>
        <w:t>Data reflect only those toddlers for whom the Lead Agency was required to conduct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01684B2E" w:rsidR="00781A26" w:rsidRPr="00ED172B" w:rsidRDefault="00CD74B5" w:rsidP="00781A26">
            <w:pPr>
              <w:jc w:val="center"/>
              <w:rPr>
                <w:b/>
                <w:color w:val="000000" w:themeColor="text1"/>
                <w:szCs w:val="16"/>
              </w:rPr>
            </w:pPr>
            <w:r>
              <w:rPr>
                <w:rFonts w:cs="Arial"/>
                <w:b/>
                <w:color w:val="000000" w:themeColor="text1"/>
                <w:szCs w:val="16"/>
              </w:rPr>
              <w:t>FFY 2022 Data</w:t>
            </w:r>
          </w:p>
        </w:tc>
        <w:tc>
          <w:tcPr>
            <w:tcW w:w="542" w:type="pct"/>
            <w:shd w:val="clear" w:color="auto" w:fill="auto"/>
            <w:vAlign w:val="bottom"/>
          </w:tcPr>
          <w:p w14:paraId="5CF67A25" w14:textId="1918C8F4" w:rsidR="00781A26" w:rsidRPr="00ED172B" w:rsidRDefault="00F22D09" w:rsidP="00781A26">
            <w:pPr>
              <w:jc w:val="center"/>
              <w:rPr>
                <w:b/>
                <w:color w:val="000000" w:themeColor="text1"/>
                <w:szCs w:val="16"/>
              </w:rPr>
            </w:pPr>
            <w:r>
              <w:rPr>
                <w:rFonts w:cs="Arial"/>
                <w:b/>
                <w:color w:val="000000" w:themeColor="text1"/>
                <w:szCs w:val="16"/>
              </w:rPr>
              <w:t>FFY 2023 Target</w:t>
            </w:r>
          </w:p>
        </w:tc>
        <w:tc>
          <w:tcPr>
            <w:tcW w:w="542" w:type="pct"/>
            <w:shd w:val="clear" w:color="auto" w:fill="auto"/>
            <w:vAlign w:val="bottom"/>
          </w:tcPr>
          <w:p w14:paraId="76B8CA16" w14:textId="66E1F6AE" w:rsidR="00781A26" w:rsidRPr="00ED172B" w:rsidRDefault="00F22D09" w:rsidP="00781A26">
            <w:pPr>
              <w:jc w:val="center"/>
              <w:rPr>
                <w:b/>
                <w:color w:val="000000" w:themeColor="text1"/>
                <w:szCs w:val="16"/>
              </w:rPr>
            </w:pPr>
            <w:r>
              <w:rPr>
                <w:rFonts w:cs="Arial"/>
                <w:b/>
                <w:color w:val="000000" w:themeColor="text1"/>
                <w:szCs w:val="16"/>
              </w:rPr>
              <w:t>FFY 2023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771</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820</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93.55%</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95.37%</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Did not meet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No Slippage</w:t>
            </w:r>
          </w:p>
        </w:tc>
      </w:tr>
    </w:tbl>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0</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16C6D22" w:rsidR="00EC3746" w:rsidRDefault="00EC3746" w:rsidP="005A1CA1">
      <w:pPr>
        <w:rPr>
          <w:color w:val="000000" w:themeColor="text1"/>
        </w:rPr>
      </w:pPr>
      <w:r w:rsidRPr="00ED172B">
        <w:rPr>
          <w:color w:val="000000" w:themeColor="text1"/>
        </w:rPr>
        <w:t>11</w:t>
      </w:r>
    </w:p>
    <w:p w14:paraId="215A5675" w14:textId="77777777" w:rsidR="00A32D79" w:rsidRDefault="00A32D79" w:rsidP="00A32D79">
      <w:pPr>
        <w:rPr>
          <w:rFonts w:cs="Arial"/>
          <w:b/>
          <w:color w:val="000000" w:themeColor="text1"/>
          <w:szCs w:val="16"/>
        </w:rPr>
      </w:pPr>
      <w:r w:rsidRPr="003739C5">
        <w:rPr>
          <w:rFonts w:cs="Arial"/>
          <w:b/>
          <w:color w:val="000000" w:themeColor="text1"/>
          <w:szCs w:val="16"/>
        </w:rPr>
        <w:t>Provide reasons for delay, if applicable.</w:t>
      </w:r>
    </w:p>
    <w:p w14:paraId="21B39747" w14:textId="0D6A34CA" w:rsidR="00A32D79" w:rsidRPr="00ED172B" w:rsidRDefault="00A32D79" w:rsidP="00A32D79">
      <w:pPr>
        <w:rPr>
          <w:rFonts w:cs="Arial"/>
          <w:color w:val="000000" w:themeColor="text1"/>
          <w:szCs w:val="16"/>
        </w:rPr>
      </w:pPr>
      <w:r w:rsidRPr="00ED172B">
        <w:rPr>
          <w:color w:val="000000" w:themeColor="text1"/>
          <w:szCs w:val="16"/>
        </w:rPr>
        <w:t>Most children of transition-age had a transition conference in a timely manner; although 38 of the children had late transition conferences due to system noncompliance attributed to support coordinators not conducting a transition conference timely.  The increased provider shortages for Family Support Coordination agencies continues to impact early intervention services. Due to turnover within agencies, a coordinator’s caseload size may have increased affecting the timeliness of some transition conferences. There has been an increase in the need for additional technical assistance and training on the transition process for newly hired support coordinators. EarlySteps has added a Professional Development Coordinator and conducted a staff restructure to address these needs.</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database</w:t>
      </w:r>
    </w:p>
    <w:p w14:paraId="1D234BC8" w14:textId="55633D84" w:rsidR="00781A26" w:rsidRPr="00ED172B" w:rsidRDefault="00781A26">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1EF1B9" w14:textId="471657D2" w:rsidR="00781A26" w:rsidRPr="00ED172B" w:rsidRDefault="00860830" w:rsidP="00781A26">
      <w:pPr>
        <w:rPr>
          <w:color w:val="000000" w:themeColor="text1"/>
        </w:rPr>
      </w:pPr>
      <w:r w:rsidRPr="00ED172B">
        <w:rPr>
          <w:color w:val="000000" w:themeColor="text1"/>
        </w:rPr>
        <w:t>March, April, and May 2024</w:t>
      </w:r>
    </w:p>
    <w:p w14:paraId="342C3DA5" w14:textId="22804128" w:rsidR="00781A26" w:rsidRPr="00ED172B" w:rsidRDefault="00781A26">
      <w:pPr>
        <w:rPr>
          <w:b/>
          <w:color w:val="000000" w:themeColor="text1"/>
        </w:rPr>
      </w:pPr>
      <w:r w:rsidRPr="00ED172B">
        <w:rPr>
          <w:b/>
          <w:color w:val="000000" w:themeColor="text1"/>
        </w:rPr>
        <w:t xml:space="preserve">Describe how the data accurately reflect data for infants and toddlers with IFSPs for the full reporting period. </w:t>
      </w:r>
    </w:p>
    <w:p w14:paraId="2045AB1A" w14:textId="660FC827" w:rsidR="00781A26" w:rsidRDefault="00860830" w:rsidP="00781A26">
      <w:pPr>
        <w:rPr>
          <w:rFonts w:cs="Arial"/>
          <w:color w:val="000000" w:themeColor="text1"/>
          <w:szCs w:val="16"/>
        </w:rPr>
      </w:pPr>
      <w:r w:rsidRPr="00ED172B">
        <w:rPr>
          <w:rFonts w:cs="Arial"/>
          <w:color w:val="000000" w:themeColor="text1"/>
          <w:szCs w:val="16"/>
        </w:rPr>
        <w:t>The EIDS Transition Report produced the list of children exiting during the targeted months of March, April, and May 2024. The list is disaggregated to the appropriate region. Chart review is then conducted by regional staff for data collection for Indicators 8a and 8c for timely transition conferences, IFSPs with transition steps and services, and LEA participation in transition conferences. Reviews of System Point of Entry and Family Support Coordination agency charts were then conducted for children exiting for the period which was a total of 820. The review protocol used by Regional Coordinators requires them to contact the LEA or the parents and indicate the status of the child's transition if eligibility was not determined at exit. Therefore, even when performance is less than 100% for an agency, the child's transition status is reviewed and verified. The state team verified by review of child records which included children’s IFSPs, IFSP meeting minutes, and the state data base for Indicator 8C.The Part C Coordinator reviewed 10% of each regional list as verification of compliance</w:t>
      </w:r>
    </w:p>
    <w:p w14:paraId="3B2CCC81" w14:textId="0C6D0819"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3A3693" w:rsidP="003A3693">
      <w:pPr>
        <w:rPr>
          <w:rFonts w:cs="Arial"/>
          <w:color w:val="000000" w:themeColor="text1"/>
          <w:szCs w:val="16"/>
        </w:rPr>
      </w:pPr>
    </w:p>
    <w:p w14:paraId="67CD31D2" w14:textId="77777777" w:rsidR="0060440D" w:rsidRDefault="0060440D" w:rsidP="00F26B1F">
      <w:pPr>
        <w:rPr>
          <w:b/>
          <w:color w:val="000000" w:themeColor="text1"/>
        </w:rPr>
      </w:pPr>
    </w:p>
    <w:p w14:paraId="0F5F1132" w14:textId="281F450F" w:rsidR="00E06C1E" w:rsidRPr="00ED172B" w:rsidRDefault="00E06C1E" w:rsidP="00B83404">
      <w:pPr>
        <w:rPr>
          <w:color w:val="000000" w:themeColor="text1"/>
        </w:rPr>
      </w:pPr>
      <w:r w:rsidRPr="00ED172B">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51</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51</w:t>
            </w:r>
          </w:p>
        </w:tc>
        <w:tc>
          <w:tcPr>
            <w:tcW w:w="1211" w:type="pct"/>
            <w:shd w:val="clear" w:color="auto" w:fill="auto"/>
          </w:tcPr>
          <w:p w14:paraId="0C3899CA" w14:textId="52A91E73" w:rsidR="00E06C1E" w:rsidRPr="00ED172B" w:rsidRDefault="00E06C1E" w:rsidP="00B17243">
            <w:pPr>
              <w:jc w:val="center"/>
              <w:rPr>
                <w:rFonts w:cs="Arial"/>
                <w:color w:val="000000" w:themeColor="text1"/>
                <w:szCs w:val="16"/>
              </w:rPr>
            </w:pPr>
          </w:p>
        </w:tc>
        <w:tc>
          <w:tcPr>
            <w:tcW w:w="1312" w:type="pct"/>
            <w:shd w:val="clear" w:color="auto" w:fill="auto"/>
          </w:tcPr>
          <w:p w14:paraId="17C46319" w14:textId="0968AE1A" w:rsidR="00E06C1E" w:rsidRPr="00ED172B" w:rsidRDefault="00860830" w:rsidP="00D21F29">
            <w:pPr>
              <w:jc w:val="center"/>
              <w:rPr>
                <w:rFonts w:cs="Arial"/>
                <w:color w:val="000000" w:themeColor="text1"/>
                <w:szCs w:val="16"/>
              </w:rPr>
            </w:pPr>
            <w:r w:rsidRPr="00ED172B">
              <w:rPr>
                <w:rFonts w:cs="Arial"/>
                <w:color w:val="000000" w:themeColor="text1"/>
                <w:szCs w:val="16"/>
              </w:rPr>
              <w:t>0</w:t>
            </w:r>
          </w:p>
        </w:tc>
      </w:tr>
    </w:tbl>
    <w:p w14:paraId="516D9735" w14:textId="3D01FEFD" w:rsidR="00E06C1E" w:rsidRPr="00ED172B" w:rsidRDefault="00CD74B5" w:rsidP="00B83404">
      <w:pPr>
        <w:rPr>
          <w:color w:val="000000" w:themeColor="text1"/>
        </w:rPr>
      </w:pPr>
      <w:r>
        <w:rPr>
          <w:b/>
          <w:color w:val="000000" w:themeColor="text1"/>
        </w:rPr>
        <w:lastRenderedPageBreak/>
        <w:t>FFY 2022 Findings of Noncompliance Verified as Corrected</w:t>
      </w:r>
    </w:p>
    <w:p w14:paraId="744E9FCC" w14:textId="4DDC632D" w:rsidR="00E06C1E" w:rsidRPr="00ED172B" w:rsidRDefault="00E06C1E">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7554342" w14:textId="19034021" w:rsidR="00E06C1E" w:rsidRPr="00ED172B" w:rsidRDefault="00860830">
      <w:pPr>
        <w:rPr>
          <w:color w:val="000000" w:themeColor="text1"/>
        </w:rPr>
      </w:pPr>
      <w:r w:rsidRPr="00ED172B">
        <w:rPr>
          <w:color w:val="000000" w:themeColor="text1"/>
        </w:rPr>
        <w:t>The EIDS Transition Report and chart review were used for verification that transition conferences occurred within the required timelines. Regional staff review dates, conduct chart review to verify that transition conferences occurred and were timely. When conferences were not timely, staff contact LEAs and/or families to verify that transition to the LEA occurred for each child. Subsequently, those agencies are issued findings and placed under corrective action. Upon completion of the CAP, the regional staff conducted follow up monitoring with agencies using the Transition Report and chart review to verify that regulatory requirements were implemented as required to establish correction. With this review following the completion of the CAP, all agencies were meeting regulatory requirements at 100% compliance.</w:t>
      </w:r>
    </w:p>
    <w:p w14:paraId="6D01EF0D" w14:textId="1AD582C0" w:rsidR="00E06C1E" w:rsidRPr="00ED172B" w:rsidRDefault="00E06C1E">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E3CA8C6" w14:textId="7957D363" w:rsidR="00E06C1E" w:rsidRDefault="00860830">
      <w:pPr>
        <w:rPr>
          <w:color w:val="000000" w:themeColor="text1"/>
        </w:rPr>
      </w:pPr>
      <w:r w:rsidRPr="00ED172B">
        <w:rPr>
          <w:color w:val="000000" w:themeColor="text1"/>
        </w:rPr>
        <w:t>FSC agencies were required to submit data to verify the 51 individual cases of noncompliance had been corrected. LA Part C staff reviewed data submitted by FSC agencies in the statewide database and information in the child records, including IFSP and transition conference documentation. Of the 51 individual cases, transition conferences occurred, although late, or the children were no longer in the jurisdiction of the EI program.</w:t>
      </w:r>
    </w:p>
    <w:p w14:paraId="24E59DC5" w14:textId="66695F02" w:rsidR="00E06C1E" w:rsidRPr="00ED172B" w:rsidRDefault="00E06C1E" w:rsidP="00B83404">
      <w:pPr>
        <w:rPr>
          <w:color w:val="000000" w:themeColor="text1"/>
        </w:rPr>
      </w:pPr>
      <w:r w:rsidRPr="00ED172B">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736EAECF"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2022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E06C1E" w:rsidP="00D21F29">
            <w:pPr>
              <w:jc w:val="center"/>
              <w:rPr>
                <w:rFonts w:cs="Arial"/>
                <w:color w:val="000000" w:themeColor="text1"/>
                <w:szCs w:val="16"/>
              </w:rPr>
            </w:pPr>
          </w:p>
        </w:tc>
        <w:tc>
          <w:tcPr>
            <w:tcW w:w="1369" w:type="pct"/>
            <w:shd w:val="clear" w:color="auto" w:fill="auto"/>
          </w:tcPr>
          <w:p w14:paraId="5BA52FCC" w14:textId="3D598A47" w:rsidR="00E06C1E" w:rsidRPr="00ED172B" w:rsidRDefault="00E06C1E" w:rsidP="00CD79C5">
            <w:pPr>
              <w:jc w:val="center"/>
              <w:rPr>
                <w:rFonts w:cs="Arial"/>
                <w:noProof/>
                <w:color w:val="000000" w:themeColor="text1"/>
                <w:szCs w:val="16"/>
              </w:rPr>
            </w:pPr>
          </w:p>
        </w:tc>
        <w:tc>
          <w:tcPr>
            <w:tcW w:w="1385" w:type="pct"/>
            <w:shd w:val="clear" w:color="auto" w:fill="auto"/>
          </w:tcPr>
          <w:p w14:paraId="6B279413" w14:textId="2F1AADB8" w:rsidR="00E06C1E" w:rsidRPr="00ED172B" w:rsidRDefault="00E06C1E" w:rsidP="00CD79C5">
            <w:pPr>
              <w:jc w:val="center"/>
              <w:rPr>
                <w:rFonts w:cs="Arial"/>
                <w:noProof/>
                <w:color w:val="000000" w:themeColor="text1"/>
                <w:szCs w:val="16"/>
              </w:rPr>
            </w:pPr>
          </w:p>
        </w:tc>
        <w:tc>
          <w:tcPr>
            <w:tcW w:w="1292" w:type="pct"/>
            <w:shd w:val="clear" w:color="auto" w:fill="auto"/>
          </w:tcPr>
          <w:p w14:paraId="68689D7A" w14:textId="2D874336" w:rsidR="00E06C1E" w:rsidRPr="00ED172B" w:rsidRDefault="00E06C1E" w:rsidP="00CD79C5">
            <w:pPr>
              <w:jc w:val="center"/>
              <w:rPr>
                <w:rFonts w:cs="Arial"/>
                <w:noProof/>
                <w:color w:val="000000" w:themeColor="text1"/>
                <w:szCs w:val="16"/>
              </w:rPr>
            </w:pPr>
          </w:p>
        </w:tc>
      </w:tr>
      <w:tr w:rsidR="00ED172B" w:rsidRPr="00ED172B" w14:paraId="56685A6A" w14:textId="77777777" w:rsidTr="00986B99">
        <w:tc>
          <w:tcPr>
            <w:tcW w:w="954" w:type="pct"/>
            <w:shd w:val="clear" w:color="auto" w:fill="auto"/>
          </w:tcPr>
          <w:p w14:paraId="7179E786" w14:textId="392A4084" w:rsidR="00E06C1E" w:rsidRPr="00ED172B" w:rsidRDefault="00E06C1E" w:rsidP="00D21F29">
            <w:pPr>
              <w:jc w:val="center"/>
              <w:rPr>
                <w:rFonts w:cs="Arial"/>
                <w:color w:val="000000" w:themeColor="text1"/>
                <w:szCs w:val="16"/>
              </w:rPr>
            </w:pPr>
          </w:p>
        </w:tc>
        <w:tc>
          <w:tcPr>
            <w:tcW w:w="1369" w:type="pct"/>
            <w:shd w:val="clear" w:color="auto" w:fill="auto"/>
          </w:tcPr>
          <w:p w14:paraId="6CB3F624" w14:textId="24F9CFE3" w:rsidR="00E06C1E" w:rsidRPr="00ED172B" w:rsidRDefault="00E06C1E" w:rsidP="00CD79C5">
            <w:pPr>
              <w:jc w:val="center"/>
              <w:rPr>
                <w:rFonts w:cs="Arial"/>
                <w:noProof/>
                <w:color w:val="000000" w:themeColor="text1"/>
                <w:szCs w:val="16"/>
              </w:rPr>
            </w:pPr>
          </w:p>
        </w:tc>
        <w:tc>
          <w:tcPr>
            <w:tcW w:w="1385" w:type="pct"/>
            <w:shd w:val="clear" w:color="auto" w:fill="auto"/>
          </w:tcPr>
          <w:p w14:paraId="4EF6A3A9" w14:textId="5371D864" w:rsidR="00E06C1E" w:rsidRPr="00ED172B" w:rsidRDefault="00E06C1E" w:rsidP="00CD79C5">
            <w:pPr>
              <w:jc w:val="center"/>
              <w:rPr>
                <w:rFonts w:cs="Arial"/>
                <w:noProof/>
                <w:color w:val="000000" w:themeColor="text1"/>
                <w:szCs w:val="16"/>
              </w:rPr>
            </w:pPr>
          </w:p>
        </w:tc>
        <w:tc>
          <w:tcPr>
            <w:tcW w:w="1292" w:type="pct"/>
            <w:shd w:val="clear" w:color="auto" w:fill="auto"/>
          </w:tcPr>
          <w:p w14:paraId="66F1697A" w14:textId="51875C1A" w:rsidR="00E06C1E" w:rsidRPr="00ED172B" w:rsidRDefault="00E06C1E" w:rsidP="00CD79C5">
            <w:pPr>
              <w:jc w:val="center"/>
              <w:rPr>
                <w:rFonts w:cs="Arial"/>
                <w:noProof/>
                <w:color w:val="000000" w:themeColor="text1"/>
                <w:szCs w:val="16"/>
              </w:rPr>
            </w:pPr>
          </w:p>
        </w:tc>
      </w:tr>
      <w:tr w:rsidR="00ED172B" w:rsidRPr="00ED172B" w14:paraId="423BF0B3" w14:textId="77777777" w:rsidTr="00986B99">
        <w:tc>
          <w:tcPr>
            <w:tcW w:w="954" w:type="pct"/>
            <w:shd w:val="clear" w:color="auto" w:fill="auto"/>
          </w:tcPr>
          <w:p w14:paraId="7C618054" w14:textId="50E5413D" w:rsidR="00E06C1E" w:rsidRPr="00ED172B" w:rsidRDefault="00E06C1E" w:rsidP="00D21F29">
            <w:pPr>
              <w:jc w:val="center"/>
              <w:rPr>
                <w:rFonts w:cs="Arial"/>
                <w:color w:val="000000" w:themeColor="text1"/>
                <w:szCs w:val="16"/>
              </w:rPr>
            </w:pPr>
          </w:p>
        </w:tc>
        <w:tc>
          <w:tcPr>
            <w:tcW w:w="1369" w:type="pct"/>
            <w:shd w:val="clear" w:color="auto" w:fill="auto"/>
          </w:tcPr>
          <w:p w14:paraId="4384FEF7" w14:textId="06049B4E" w:rsidR="00E06C1E" w:rsidRPr="00ED172B" w:rsidRDefault="00E06C1E" w:rsidP="00CD79C5">
            <w:pPr>
              <w:jc w:val="center"/>
              <w:rPr>
                <w:rFonts w:cs="Arial"/>
                <w:noProof/>
                <w:color w:val="000000" w:themeColor="text1"/>
                <w:szCs w:val="16"/>
              </w:rPr>
            </w:pPr>
          </w:p>
        </w:tc>
        <w:tc>
          <w:tcPr>
            <w:tcW w:w="1385" w:type="pct"/>
            <w:shd w:val="clear" w:color="auto" w:fill="auto"/>
          </w:tcPr>
          <w:p w14:paraId="60362BA9" w14:textId="53FAE770" w:rsidR="00E06C1E" w:rsidRPr="00ED172B" w:rsidRDefault="00E06C1E" w:rsidP="00CD79C5">
            <w:pPr>
              <w:jc w:val="center"/>
              <w:rPr>
                <w:rFonts w:cs="Arial"/>
                <w:noProof/>
                <w:color w:val="000000" w:themeColor="text1"/>
                <w:szCs w:val="16"/>
              </w:rPr>
            </w:pPr>
          </w:p>
        </w:tc>
        <w:tc>
          <w:tcPr>
            <w:tcW w:w="1292" w:type="pct"/>
            <w:shd w:val="clear" w:color="auto" w:fill="auto"/>
          </w:tcPr>
          <w:p w14:paraId="1935DBBF" w14:textId="5B8D837C" w:rsidR="00E06C1E" w:rsidRPr="00ED172B" w:rsidRDefault="00E06C1E" w:rsidP="00CD79C5">
            <w:pPr>
              <w:jc w:val="center"/>
              <w:rPr>
                <w:rFonts w:cs="Arial"/>
                <w:noProof/>
                <w:color w:val="000000" w:themeColor="text1"/>
                <w:szCs w:val="16"/>
              </w:rPr>
            </w:pPr>
          </w:p>
        </w:tc>
      </w:tr>
      <w:tr w:rsidR="00422BEE" w:rsidRPr="00ED172B" w14:paraId="6EF5CDEF" w14:textId="77777777" w:rsidTr="00986B99">
        <w:tc>
          <w:tcPr>
            <w:tcW w:w="954" w:type="pct"/>
            <w:shd w:val="clear" w:color="auto" w:fill="auto"/>
          </w:tcPr>
          <w:p w14:paraId="74463FE6" w14:textId="4B3ED3AA" w:rsidR="00422BEE" w:rsidRPr="00ED172B" w:rsidRDefault="00422BEE" w:rsidP="00D21F29">
            <w:pPr>
              <w:jc w:val="center"/>
              <w:rPr>
                <w:rFonts w:cs="Arial"/>
                <w:color w:val="000000" w:themeColor="text1"/>
                <w:szCs w:val="16"/>
              </w:rPr>
            </w:pPr>
          </w:p>
        </w:tc>
        <w:tc>
          <w:tcPr>
            <w:tcW w:w="1369" w:type="pct"/>
            <w:shd w:val="clear" w:color="auto" w:fill="auto"/>
          </w:tcPr>
          <w:p w14:paraId="460E61A6" w14:textId="48EA216E" w:rsidR="00422BEE" w:rsidRPr="00ED172B" w:rsidRDefault="00422BEE" w:rsidP="00422BEE">
            <w:pPr>
              <w:jc w:val="center"/>
              <w:rPr>
                <w:rFonts w:cs="Arial"/>
                <w:color w:val="000000" w:themeColor="text1"/>
                <w:szCs w:val="16"/>
              </w:rPr>
            </w:pPr>
          </w:p>
        </w:tc>
        <w:tc>
          <w:tcPr>
            <w:tcW w:w="1385" w:type="pct"/>
            <w:shd w:val="clear" w:color="auto" w:fill="auto"/>
          </w:tcPr>
          <w:p w14:paraId="30C50A54" w14:textId="55A06122" w:rsidR="00422BEE" w:rsidRPr="00ED172B" w:rsidRDefault="00422BEE" w:rsidP="00422BEE">
            <w:pPr>
              <w:jc w:val="center"/>
              <w:rPr>
                <w:rFonts w:cs="Arial"/>
                <w:color w:val="000000" w:themeColor="text1"/>
                <w:szCs w:val="16"/>
              </w:rPr>
            </w:pPr>
          </w:p>
        </w:tc>
        <w:tc>
          <w:tcPr>
            <w:tcW w:w="1292" w:type="pct"/>
            <w:shd w:val="clear" w:color="auto" w:fill="auto"/>
          </w:tcPr>
          <w:p w14:paraId="1229F702" w14:textId="4C186FAB" w:rsidR="00422BEE" w:rsidRPr="00ED172B" w:rsidRDefault="00422BEE" w:rsidP="00422BEE">
            <w:pPr>
              <w:jc w:val="center"/>
              <w:rPr>
                <w:rFonts w:cs="Arial"/>
                <w:color w:val="000000" w:themeColor="text1"/>
                <w:szCs w:val="16"/>
              </w:rPr>
            </w:pPr>
          </w:p>
        </w:tc>
      </w:tr>
      <w:tr w:rsidR="00422BEE" w:rsidRPr="00ED172B" w14:paraId="4701CE6F" w14:textId="77777777" w:rsidTr="00986B99">
        <w:tc>
          <w:tcPr>
            <w:tcW w:w="954" w:type="pct"/>
            <w:shd w:val="clear" w:color="auto" w:fill="auto"/>
          </w:tcPr>
          <w:p w14:paraId="5B94419F" w14:textId="7AC21A0A" w:rsidR="00422BEE" w:rsidRPr="00ED172B" w:rsidRDefault="00422BEE" w:rsidP="00D21F29">
            <w:pPr>
              <w:jc w:val="center"/>
              <w:rPr>
                <w:rFonts w:cs="Arial"/>
                <w:color w:val="000000" w:themeColor="text1"/>
                <w:szCs w:val="16"/>
              </w:rPr>
            </w:pPr>
          </w:p>
        </w:tc>
        <w:tc>
          <w:tcPr>
            <w:tcW w:w="1369" w:type="pct"/>
            <w:shd w:val="clear" w:color="auto" w:fill="auto"/>
          </w:tcPr>
          <w:p w14:paraId="61A65B88" w14:textId="46B3C92D" w:rsidR="00422BEE" w:rsidRPr="00ED172B" w:rsidRDefault="00422BEE" w:rsidP="00422BEE">
            <w:pPr>
              <w:jc w:val="center"/>
              <w:rPr>
                <w:rFonts w:cs="Arial"/>
                <w:color w:val="000000" w:themeColor="text1"/>
                <w:szCs w:val="16"/>
              </w:rPr>
            </w:pPr>
          </w:p>
        </w:tc>
        <w:tc>
          <w:tcPr>
            <w:tcW w:w="1385" w:type="pct"/>
            <w:shd w:val="clear" w:color="auto" w:fill="auto"/>
          </w:tcPr>
          <w:p w14:paraId="46126A64" w14:textId="42C89DB5" w:rsidR="00422BEE" w:rsidRPr="00ED172B" w:rsidRDefault="00422BEE" w:rsidP="00422BEE">
            <w:pPr>
              <w:jc w:val="center"/>
              <w:rPr>
                <w:rFonts w:cs="Arial"/>
                <w:color w:val="000000" w:themeColor="text1"/>
                <w:szCs w:val="16"/>
              </w:rPr>
            </w:pPr>
          </w:p>
        </w:tc>
        <w:tc>
          <w:tcPr>
            <w:tcW w:w="1292" w:type="pct"/>
            <w:shd w:val="clear" w:color="auto" w:fill="auto"/>
          </w:tcPr>
          <w:p w14:paraId="4B884D14" w14:textId="4359A626" w:rsidR="00422BEE" w:rsidRPr="00ED172B" w:rsidRDefault="00422BEE" w:rsidP="00422BEE">
            <w:pPr>
              <w:jc w:val="center"/>
              <w:rPr>
                <w:rFonts w:cs="Arial"/>
                <w:color w:val="000000" w:themeColor="text1"/>
                <w:szCs w:val="16"/>
              </w:rPr>
            </w:pPr>
          </w:p>
        </w:tc>
      </w:tr>
    </w:tbl>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w:t>
      </w:r>
      <w:r w:rsidRPr="00ED172B">
        <w:rPr>
          <w:color w:val="000000" w:themeColor="text1"/>
        </w:rPr>
        <w:br/>
      </w:r>
      <w:r w:rsidRPr="00ED172B">
        <w:rPr>
          <w:color w:val="000000" w:themeColor="text1"/>
        </w:rPr>
        <w:br/>
        <w:t>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4EE6B923" w14:textId="7835284B" w:rsidR="00E06C1E" w:rsidRPr="00ED172B" w:rsidRDefault="00E06C1E" w:rsidP="00B83404">
      <w:pPr>
        <w:rPr>
          <w:color w:val="000000" w:themeColor="text1"/>
        </w:rPr>
      </w:pPr>
      <w:r w:rsidRPr="00ED172B">
        <w:rPr>
          <w:b/>
          <w:color w:val="000000" w:themeColor="text1"/>
        </w:rPr>
        <w:t>Response to actions required in FFY 2022 SPP/APR</w:t>
      </w:r>
      <w:r w:rsidR="00950382" w:rsidRPr="00ED172B">
        <w:rPr>
          <w:color w:val="000000" w:themeColor="text1"/>
        </w:rPr>
        <w:t xml:space="preserve"> </w:t>
      </w:r>
    </w:p>
    <w:p w14:paraId="7FE546ED" w14:textId="628A60E0" w:rsidR="00720D77" w:rsidRPr="00ED172B" w:rsidRDefault="00027F39" w:rsidP="00027F39">
      <w:pPr>
        <w:rPr>
          <w:color w:val="000000" w:themeColor="text1"/>
        </w:rPr>
      </w:pPr>
      <w:r w:rsidRPr="00ED172B">
        <w:rPr>
          <w:color w:val="000000" w:themeColor="text1"/>
        </w:rPr>
        <w:t>Louisiana Part C issued 51 findings of noncompliance for transition conferences that were not held timely. Corrective Action Plans were developed to correct and improve performance and to ensure that agencies meet regulatory requirements. Following completion of the CAPs, Regional Coordinators reviewed Transition Report data for subsequent months and established that agencies were meeting requirements at 100% compliance. For findings that were issued, Regional Coordinators followed up with Local Education Agencies and families to verify that the individual child successfully transitioned. At the time of monitoring, these children were no longer within jurisdiction of EarlySteps.</w:t>
      </w: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320806" w:rsidP="00320806">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 were collected accurately reflects data for infants and toddlers with IFSPs for the full reporting period.</w:t>
      </w: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320806" w:rsidP="00320806">
      <w:pPr>
        <w:rPr>
          <w:color w:val="000000" w:themeColor="text1"/>
        </w:rPr>
      </w:pPr>
      <w:r w:rsidRPr="00ED172B">
        <w:rPr>
          <w:color w:val="000000" w:themeColor="text1"/>
        </w:rPr>
        <w:t xml:space="preserve">Because the State reported less than 100% compliance for FFY 2023, the State must report on the status of correction of noncompliance identified in FFY 2023 for this indicator. When reporting on the correction of noncompliance, the State must report, in the FFY 2024 SPP/APR, that it has verified that each EIS program or provider with noncompliance identified in FFY 2023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and no outstanding corrective action exists under a State complaint or due process hearing decision for the child, consistent with OSEP QA 23-01. In the FFY 2024 SPP/APR, the State must describe the specific actions that were taken to verify the correction. If the State did not identify any findings of noncompliance in FFY 2023, although its FFY 2023 data reflect less than 100% compliance, provide an explanation of why the State did not identify any findings of noncompliance in FFY 2023. If the State did not issue any findings because it has adopted procedures that permit its EIS programs/providers to correct noncompliance prior to the State's issuance of a finding (i.e., pre-finding correction), the explanation must include how the State verified, prior to issuing a finding, that the EIS program/provider has corrected each individual case of child-specific noncompliance and is correctly implementing the specific regulatory requirements. </w:t>
      </w: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BF3AB4">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7" w:name="_Toc382082390"/>
      <w:bookmarkStart w:id="48" w:name="_Toc392159339"/>
      <w:bookmarkEnd w:id="43"/>
      <w:r w:rsidRPr="00ED172B">
        <w:rPr>
          <w:color w:val="000000" w:themeColor="text1"/>
        </w:rPr>
        <w:lastRenderedPageBreak/>
        <w:t>Indicator 9: Resolution Sessions</w:t>
      </w:r>
      <w:bookmarkEnd w:id="47"/>
      <w:bookmarkEnd w:id="48"/>
    </w:p>
    <w:p w14:paraId="162A1EA4" w14:textId="77777777" w:rsidR="00F51610" w:rsidRPr="00ED172B" w:rsidRDefault="00F51610" w:rsidP="00186420">
      <w:pPr>
        <w:rPr>
          <w:color w:val="000000" w:themeColor="text1"/>
          <w:szCs w:val="20"/>
        </w:rPr>
      </w:pPr>
      <w:bookmarkStart w:id="49" w:name="_Toc381786822"/>
      <w:bookmarkStart w:id="50" w:name="_Toc382731911"/>
      <w:bookmarkStart w:id="51" w:name="_Toc382731912"/>
      <w:bookmarkStart w:id="52" w:name="_Toc392159340"/>
      <w:bookmarkEnd w:id="49"/>
      <w:bookmarkEnd w:id="50"/>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58D9B75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00CD071F" w:rsidRPr="004353B0">
        <w:rPr>
          <w:szCs w:val="16"/>
        </w:rPr>
        <w:t>under section 615 of</w:t>
      </w:r>
      <w:r w:rsidR="00CD071F">
        <w:rPr>
          <w:szCs w:val="16"/>
        </w:rPr>
        <w:t xml:space="preserve"> </w:t>
      </w:r>
      <w:r w:rsidR="00CD071F" w:rsidRPr="004353B0">
        <w:rPr>
          <w:szCs w:val="16"/>
        </w:rPr>
        <w:t>the IDEA</w:t>
      </w:r>
      <w:r w:rsidR="00CD071F" w:rsidRPr="003461DB">
        <w:rPr>
          <w:szCs w:val="16"/>
        </w:rPr>
        <w:t xml:space="preserve"> </w:t>
      </w:r>
      <w:r w:rsidRPr="00ED172B">
        <w:rPr>
          <w:color w:val="000000" w:themeColor="text1"/>
          <w:szCs w:val="16"/>
        </w:rPr>
        <w:t>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D21F29" w:rsidRDefault="00F90BF8" w:rsidP="00715B7C">
      <w:pPr>
        <w:rPr>
          <w:i/>
          <w:iCs/>
          <w:color w:val="000000" w:themeColor="text1"/>
          <w:szCs w:val="16"/>
        </w:rPr>
      </w:pPr>
      <w:r w:rsidRPr="00D21F29">
        <w:rPr>
          <w:i/>
          <w:iCs/>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3016DCDE" w:rsidR="00F90BF8" w:rsidRPr="00ED172B" w:rsidRDefault="00F90BF8" w:rsidP="00715B7C">
      <w:pPr>
        <w:rPr>
          <w:color w:val="000000" w:themeColor="text1"/>
          <w:szCs w:val="16"/>
        </w:rPr>
      </w:pPr>
      <w:r w:rsidRPr="00ED172B">
        <w:rPr>
          <w:color w:val="000000" w:themeColor="text1"/>
          <w:szCs w:val="16"/>
        </w:rPr>
        <w:t>States are not required to establish baselines or targets if the number of resolution sessions is less than 10. In a reporting period when the number of resolution sessions reaches 10 or greater, the State must develop baselines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1"/>
    <w:bookmarkEnd w:id="52"/>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YES</w:t>
      </w:r>
    </w:p>
    <w:p w14:paraId="2D577CD3" w14:textId="47D29935" w:rsidR="00781A26" w:rsidRPr="00ED172B" w:rsidRDefault="00D12606" w:rsidP="00B83404">
      <w:pPr>
        <w:rPr>
          <w:b/>
          <w:color w:val="000000" w:themeColor="text1"/>
        </w:rPr>
      </w:pPr>
      <w:r w:rsidRPr="00ED172B">
        <w:rPr>
          <w:b/>
          <w:color w:val="000000" w:themeColor="text1"/>
        </w:rPr>
        <w:t xml:space="preserve">Provide an explanation of why it is not applicable below. </w:t>
      </w:r>
    </w:p>
    <w:p w14:paraId="15AA9D9C" w14:textId="77098EE1" w:rsidR="00D12606" w:rsidRPr="00ED172B" w:rsidRDefault="00860830" w:rsidP="00B83404">
      <w:pPr>
        <w:rPr>
          <w:color w:val="000000" w:themeColor="text1"/>
        </w:rPr>
      </w:pPr>
      <w:r w:rsidRPr="00ED172B">
        <w:rPr>
          <w:color w:val="000000" w:themeColor="text1"/>
        </w:rPr>
        <w:t>Louisiana does not use Part B Resolution Sessions to resolve disputes.</w:t>
      </w: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3" w:name="_Toc381786825"/>
      <w:bookmarkStart w:id="54" w:name="_Toc382731915"/>
      <w:bookmarkStart w:id="55" w:name="_Toc392159343"/>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OSEP notes that this indicator is not applicable.</w:t>
      </w:r>
    </w:p>
    <w:p w14:paraId="0C618A6B" w14:textId="01095AAB" w:rsidR="00DC0682" w:rsidRPr="00ED172B" w:rsidRDefault="00DC0682" w:rsidP="00B83404">
      <w:pPr>
        <w:rPr>
          <w:color w:val="000000" w:themeColor="text1"/>
        </w:rPr>
      </w:pPr>
      <w:r w:rsidRPr="00ED172B">
        <w:rPr>
          <w:b/>
          <w:color w:val="000000" w:themeColor="text1"/>
        </w:rPr>
        <w:t>Response to actions required in FFY 2022 SPP/APR</w:t>
      </w:r>
      <w:r w:rsidR="00950382" w:rsidRPr="00ED172B">
        <w:rPr>
          <w:color w:val="000000" w:themeColor="text1"/>
        </w:rPr>
        <w:t xml:space="preserve"> </w:t>
      </w:r>
    </w:p>
    <w:p w14:paraId="1507D5E2" w14:textId="766D3B15" w:rsidR="00DC0682" w:rsidRPr="00ED172B" w:rsidRDefault="00DC0682" w:rsidP="00320806">
      <w:pPr>
        <w:rPr>
          <w:color w:val="000000" w:themeColor="text1"/>
        </w:rPr>
      </w:pPr>
    </w:p>
    <w:p w14:paraId="68A4FC9E" w14:textId="6CE4698D" w:rsidR="00DC0682" w:rsidRPr="00A40EE1" w:rsidRDefault="000D0117" w:rsidP="007B0787">
      <w:pPr>
        <w:pStyle w:val="Heading2"/>
      </w:pPr>
      <w:r w:rsidRPr="00A40EE1">
        <w:t xml:space="preserve">9 - </w:t>
      </w:r>
      <w:r w:rsidR="00DC0682" w:rsidRPr="00A40EE1">
        <w:t>OSEP Response</w:t>
      </w:r>
    </w:p>
    <w:p w14:paraId="1C7C181C" w14:textId="49B74C9B" w:rsidR="00DC0682" w:rsidRPr="00ED172B" w:rsidRDefault="00320806" w:rsidP="00320806">
      <w:pPr>
        <w:rPr>
          <w:color w:val="000000" w:themeColor="text1"/>
        </w:rPr>
      </w:pPr>
      <w:r w:rsidRPr="00ED172B">
        <w:rPr>
          <w:color w:val="000000" w:themeColor="text1"/>
        </w:rPr>
        <w:t>OSEP notes that this indicator is not applicable.</w:t>
      </w: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DC0682" w:rsidP="00320806">
      <w:pPr>
        <w:rPr>
          <w:color w:val="000000" w:themeColor="text1"/>
        </w:rPr>
      </w:pPr>
    </w:p>
    <w:p w14:paraId="0B4933B5" w14:textId="77777777" w:rsidR="00B87A9B" w:rsidRDefault="00B87A9B">
      <w:pPr>
        <w:spacing w:before="0" w:after="200" w:line="276" w:lineRule="auto"/>
        <w:rPr>
          <w:rFonts w:eastAsiaTheme="majorEastAsia" w:cstheme="majorBidi"/>
          <w:b/>
          <w:bCs/>
          <w:color w:val="000000" w:themeColor="text1"/>
          <w:sz w:val="22"/>
          <w:szCs w:val="28"/>
        </w:rPr>
      </w:pPr>
      <w:bookmarkStart w:id="56" w:name="_Hlk109646703"/>
      <w:r>
        <w:rPr>
          <w:color w:val="000000" w:themeColor="text1"/>
        </w:rPr>
        <w:br w:type="page"/>
      </w:r>
    </w:p>
    <w:p w14:paraId="40C7A32D" w14:textId="4F9B1388" w:rsidR="007F0CEC" w:rsidRPr="00ED172B" w:rsidRDefault="007F0CEC" w:rsidP="0077063D">
      <w:pPr>
        <w:pStyle w:val="Heading1"/>
        <w:rPr>
          <w:color w:val="000000" w:themeColor="text1"/>
        </w:rPr>
      </w:pPr>
      <w:r w:rsidRPr="00ED172B">
        <w:rPr>
          <w:color w:val="000000" w:themeColor="text1"/>
        </w:rPr>
        <w:lastRenderedPageBreak/>
        <w:t>Indicator 10: Mediation</w:t>
      </w:r>
      <w:bookmarkEnd w:id="53"/>
      <w:bookmarkEnd w:id="54"/>
      <w:bookmarkEnd w:id="55"/>
    </w:p>
    <w:p w14:paraId="68E62423" w14:textId="77777777" w:rsidR="00F51610" w:rsidRPr="00ED172B" w:rsidRDefault="00F51610" w:rsidP="00186420">
      <w:pPr>
        <w:rPr>
          <w:color w:val="000000" w:themeColor="text1"/>
          <w:szCs w:val="20"/>
        </w:rPr>
      </w:pPr>
      <w:bookmarkStart w:id="57" w:name="_Toc382731916"/>
      <w:bookmarkStart w:id="58"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3D8399C8" w:rsidR="00F90BF8" w:rsidRPr="00ED172B" w:rsidRDefault="00F90BF8" w:rsidP="00715B7C">
      <w:pPr>
        <w:rPr>
          <w:color w:val="000000" w:themeColor="text1"/>
          <w:szCs w:val="16"/>
        </w:rPr>
      </w:pPr>
      <w:r w:rsidRPr="00ED172B">
        <w:rPr>
          <w:color w:val="000000" w:themeColor="text1"/>
          <w:szCs w:val="16"/>
        </w:rPr>
        <w:t>Percent = [(2.1(a)(i) + 2.1(b)(i))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D21F29" w:rsidRDefault="00F90BF8" w:rsidP="00715B7C">
      <w:pPr>
        <w:rPr>
          <w:i/>
          <w:iCs/>
          <w:color w:val="000000" w:themeColor="text1"/>
          <w:szCs w:val="16"/>
        </w:rPr>
      </w:pPr>
      <w:r w:rsidRPr="00D21F29">
        <w:rPr>
          <w:i/>
          <w:iCs/>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0538FDD7" w:rsidR="00F90BF8" w:rsidRPr="00ED172B" w:rsidRDefault="00F90BF8" w:rsidP="00715B7C">
      <w:pPr>
        <w:rPr>
          <w:color w:val="000000" w:themeColor="text1"/>
          <w:szCs w:val="16"/>
        </w:rPr>
      </w:pPr>
      <w:r w:rsidRPr="00ED172B">
        <w:rPr>
          <w:color w:val="000000" w:themeColor="text1"/>
          <w:szCs w:val="16"/>
        </w:rPr>
        <w:t>States are not required to establish baselines or targets if the number of mediations is less than 10. In a reporting period when the number of mediations reaches 10 or greater, the State must develop baseline and report them in the corresponding SPP/APR.</w:t>
      </w:r>
    </w:p>
    <w:p w14:paraId="6481ACCC" w14:textId="21E12B44" w:rsidR="00F90BF8" w:rsidRPr="00ED172B" w:rsidRDefault="00CD071F" w:rsidP="00715B7C">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00F90BF8"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6"/>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not used</w:t>
      </w:r>
    </w:p>
    <w:p w14:paraId="69A772DE" w14:textId="75DD0403"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451F6157" w:rsidR="00781A26" w:rsidRPr="00ED172B" w:rsidRDefault="00027F39" w:rsidP="00ED172B">
            <w:pPr>
              <w:jc w:val="center"/>
              <w:rPr>
                <w:color w:val="000000" w:themeColor="text1"/>
              </w:rPr>
            </w:pPr>
            <w:r w:rsidRPr="00ED172B">
              <w:rPr>
                <w:color w:val="000000" w:themeColor="text1"/>
              </w:rPr>
              <w:t>0</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64FE476C"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780C2FE5"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68E60F77" w14:textId="50BC5DCB" w:rsidR="00287B52" w:rsidRPr="00ED172B" w:rsidRDefault="00287B52" w:rsidP="00287B52">
      <w:pPr>
        <w:pStyle w:val="Bold"/>
        <w:rPr>
          <w:b w:val="0"/>
          <w:color w:val="000000" w:themeColor="text1"/>
        </w:rPr>
      </w:pP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2811"/>
        <w:gridCol w:w="875"/>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r w:rsidRPr="00ED172B">
              <w:rPr>
                <w:color w:val="000000" w:themeColor="text1"/>
              </w:rPr>
              <w:t>2005</w:t>
            </w:r>
          </w:p>
        </w:tc>
        <w:tc>
          <w:tcPr>
            <w:tcW w:w="611" w:type="pct"/>
            <w:shd w:val="clear" w:color="auto" w:fill="auto"/>
            <w:vAlign w:val="center"/>
          </w:tcPr>
          <w:p w14:paraId="03A9855E" w14:textId="5D4201BC" w:rsidR="000378F3" w:rsidRPr="00ED172B" w:rsidRDefault="000378F3" w:rsidP="000378F3">
            <w:pPr>
              <w:jc w:val="center"/>
              <w:rPr>
                <w:color w:val="000000" w:themeColor="text1"/>
              </w:rPr>
            </w:pP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2020</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2021</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2022</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D21F29">
            <w:pPr>
              <w:jc w:val="cente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965010" w:rsidP="00186420">
            <w:pPr>
              <w:jc w:val="center"/>
              <w:rPr>
                <w:rFonts w:cs="Arial"/>
                <w:color w:val="000000" w:themeColor="text1"/>
                <w:szCs w:val="16"/>
              </w:rPr>
            </w:pPr>
          </w:p>
        </w:tc>
        <w:tc>
          <w:tcPr>
            <w:tcW w:w="875" w:type="pct"/>
            <w:shd w:val="clear" w:color="auto" w:fill="auto"/>
          </w:tcPr>
          <w:p w14:paraId="4958A7B0" w14:textId="75FC1EB5"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6925E141" w14:textId="6C4655F4"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6D3F5E0A" w14:textId="302FDA6B"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3307A743" w14:textId="0DA1032C" w:rsidR="00965010" w:rsidRPr="00ED172B" w:rsidRDefault="00965010" w:rsidP="00186420">
            <w:pPr>
              <w:jc w:val="center"/>
              <w:rPr>
                <w:rFonts w:cs="Arial"/>
                <w:color w:val="000000" w:themeColor="text1"/>
                <w:szCs w:val="16"/>
              </w:rPr>
            </w:pP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D21F29">
            <w:pPr>
              <w:jc w:val="cente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965010" w:rsidP="00186420">
            <w:pPr>
              <w:jc w:val="center"/>
              <w:rPr>
                <w:rFonts w:cs="Arial"/>
                <w:color w:val="000000" w:themeColor="text1"/>
                <w:szCs w:val="16"/>
              </w:rPr>
            </w:pPr>
          </w:p>
        </w:tc>
        <w:tc>
          <w:tcPr>
            <w:tcW w:w="875" w:type="pct"/>
            <w:shd w:val="clear" w:color="auto" w:fill="auto"/>
          </w:tcPr>
          <w:p w14:paraId="179468D4" w14:textId="6AEF13A0"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33864A15" w14:textId="13EED87A"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41D4E2E4" w14:textId="36C47BB5"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F1127D0" w14:textId="3B0BE864" w:rsidR="00965010" w:rsidRPr="00ED172B" w:rsidRDefault="00965010" w:rsidP="00186420">
            <w:pPr>
              <w:jc w:val="center"/>
              <w:rPr>
                <w:rFonts w:cs="Arial"/>
                <w:color w:val="000000" w:themeColor="text1"/>
                <w:szCs w:val="16"/>
              </w:rPr>
            </w:pPr>
          </w:p>
        </w:tc>
      </w:tr>
    </w:tbl>
    <w:p w14:paraId="4DA02AA2" w14:textId="77777777" w:rsidR="00720D77" w:rsidRPr="00ED172B" w:rsidRDefault="00720D77" w:rsidP="00720D77">
      <w:pPr>
        <w:pStyle w:val="Italic"/>
        <w:rPr>
          <w:rFonts w:cs="Arial"/>
          <w:i w:val="0"/>
          <w:color w:val="000000" w:themeColor="text1"/>
          <w:szCs w:val="16"/>
        </w:rPr>
      </w:pPr>
    </w:p>
    <w:p w14:paraId="2EC7A5C1" w14:textId="64FBA7B4" w:rsidR="00965010" w:rsidRPr="00ED172B" w:rsidRDefault="00965010" w:rsidP="00B83404">
      <w:pPr>
        <w:rPr>
          <w:color w:val="000000" w:themeColor="text1"/>
        </w:rPr>
      </w:pPr>
      <w:r w:rsidRPr="00ED172B">
        <w:rPr>
          <w:b/>
          <w:color w:val="000000" w:themeColor="text1"/>
        </w:rPr>
        <w:t>Targets</w:t>
      </w:r>
    </w:p>
    <w:tbl>
      <w:tblPr>
        <w:tblW w:w="3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TARGETS"/>
      </w:tblPr>
      <w:tblGrid>
        <w:gridCol w:w="866"/>
        <w:gridCol w:w="2351"/>
        <w:gridCol w:w="2521"/>
        <w:gridCol w:w="2521"/>
      </w:tblGrid>
      <w:tr w:rsidR="000A0569" w:rsidRPr="00ED172B" w14:paraId="3367B66C" w14:textId="18B525E5" w:rsidTr="00EC51AB">
        <w:trPr>
          <w:trHeight w:val="360"/>
        </w:trPr>
        <w:tc>
          <w:tcPr>
            <w:tcW w:w="506" w:type="pct"/>
            <w:tcBorders>
              <w:bottom w:val="single" w:sz="4" w:space="0" w:color="auto"/>
            </w:tcBorders>
            <w:shd w:val="clear" w:color="auto" w:fill="auto"/>
          </w:tcPr>
          <w:p w14:paraId="3C2EA831" w14:textId="77777777" w:rsidR="000A0569" w:rsidRPr="00ED172B" w:rsidRDefault="000A0569" w:rsidP="00C375EA">
            <w:pPr>
              <w:jc w:val="center"/>
              <w:rPr>
                <w:b/>
                <w:color w:val="000000" w:themeColor="text1"/>
              </w:rPr>
            </w:pPr>
            <w:r w:rsidRPr="00ED172B">
              <w:rPr>
                <w:b/>
                <w:color w:val="000000" w:themeColor="text1"/>
              </w:rPr>
              <w:t>FFY</w:t>
            </w:r>
          </w:p>
        </w:tc>
        <w:tc>
          <w:tcPr>
            <w:tcW w:w="1430" w:type="pct"/>
            <w:shd w:val="clear" w:color="auto" w:fill="auto"/>
            <w:vAlign w:val="center"/>
          </w:tcPr>
          <w:p w14:paraId="64F739CA" w14:textId="43EC1A3D" w:rsidR="000A0569" w:rsidRPr="00ED172B" w:rsidRDefault="000A0569" w:rsidP="00C375EA">
            <w:pPr>
              <w:jc w:val="center"/>
              <w:rPr>
                <w:b/>
                <w:color w:val="000000" w:themeColor="text1"/>
              </w:rPr>
            </w:pPr>
            <w:r w:rsidRPr="00ED172B">
              <w:rPr>
                <w:b/>
                <w:color w:val="000000" w:themeColor="text1"/>
              </w:rPr>
              <w:t>2023</w:t>
            </w:r>
          </w:p>
        </w:tc>
        <w:tc>
          <w:tcPr>
            <w:tcW w:w="1532" w:type="pct"/>
          </w:tcPr>
          <w:p w14:paraId="787B7032" w14:textId="0281A2A2" w:rsidR="000A0569" w:rsidRPr="00ED172B" w:rsidRDefault="000A0569" w:rsidP="00C375EA">
            <w:pPr>
              <w:jc w:val="center"/>
              <w:rPr>
                <w:b/>
                <w:color w:val="000000" w:themeColor="text1"/>
              </w:rPr>
            </w:pPr>
            <w:r>
              <w:rPr>
                <w:rFonts w:cs="Arial"/>
                <w:b/>
                <w:color w:val="000000" w:themeColor="text1"/>
                <w:szCs w:val="16"/>
              </w:rPr>
              <w:t>2024</w:t>
            </w:r>
          </w:p>
        </w:tc>
        <w:tc>
          <w:tcPr>
            <w:tcW w:w="1532" w:type="pct"/>
          </w:tcPr>
          <w:p w14:paraId="328C1C3C" w14:textId="4248D53A" w:rsidR="000A0569" w:rsidRPr="00ED172B" w:rsidRDefault="000A0569" w:rsidP="00C375EA">
            <w:pPr>
              <w:jc w:val="center"/>
              <w:rPr>
                <w:b/>
                <w:color w:val="000000" w:themeColor="text1"/>
              </w:rPr>
            </w:pPr>
            <w:r w:rsidRPr="005A1B4F">
              <w:rPr>
                <w:rFonts w:cs="Arial"/>
                <w:b/>
                <w:color w:val="000000" w:themeColor="text1"/>
                <w:szCs w:val="16"/>
              </w:rPr>
              <w:t>2025</w:t>
            </w:r>
          </w:p>
        </w:tc>
      </w:tr>
      <w:tr w:rsidR="000A0569" w:rsidRPr="00ED172B" w14:paraId="0276B9DA" w14:textId="556EB458" w:rsidTr="00EC51AB">
        <w:trPr>
          <w:trHeight w:val="367"/>
        </w:trPr>
        <w:tc>
          <w:tcPr>
            <w:tcW w:w="506" w:type="pct"/>
            <w:shd w:val="clear" w:color="auto" w:fill="auto"/>
          </w:tcPr>
          <w:p w14:paraId="2CCE1C49" w14:textId="473A3F03" w:rsidR="000A0569" w:rsidRPr="00ED172B" w:rsidRDefault="000A0569" w:rsidP="00D21F29">
            <w:pPr>
              <w:jc w:val="center"/>
              <w:rPr>
                <w:rFonts w:cs="Arial"/>
                <w:color w:val="000000" w:themeColor="text1"/>
                <w:szCs w:val="16"/>
              </w:rPr>
            </w:pPr>
            <w:r w:rsidRPr="00ED172B">
              <w:rPr>
                <w:rFonts w:cs="Arial"/>
                <w:color w:val="000000" w:themeColor="text1"/>
                <w:szCs w:val="16"/>
              </w:rPr>
              <w:t>Target&gt;=</w:t>
            </w:r>
          </w:p>
        </w:tc>
        <w:tc>
          <w:tcPr>
            <w:tcW w:w="1430" w:type="pct"/>
            <w:shd w:val="clear" w:color="auto" w:fill="auto"/>
            <w:vAlign w:val="center"/>
          </w:tcPr>
          <w:p w14:paraId="7A1FE832" w14:textId="7EA6C6B8" w:rsidR="000A0569" w:rsidRPr="00ED172B" w:rsidRDefault="000A0569" w:rsidP="00C375EA">
            <w:pPr>
              <w:jc w:val="center"/>
              <w:rPr>
                <w:color w:val="000000" w:themeColor="text1"/>
              </w:rPr>
            </w:pPr>
          </w:p>
        </w:tc>
        <w:tc>
          <w:tcPr>
            <w:tcW w:w="1532" w:type="pct"/>
          </w:tcPr>
          <w:p w14:paraId="1309820B" w14:textId="7FA1AFB9" w:rsidR="000A0569" w:rsidRPr="00ED172B" w:rsidRDefault="000A0569" w:rsidP="00C375EA">
            <w:pPr>
              <w:jc w:val="center"/>
              <w:rPr>
                <w:color w:val="000000" w:themeColor="text1"/>
              </w:rPr>
            </w:pPr>
          </w:p>
        </w:tc>
        <w:tc>
          <w:tcPr>
            <w:tcW w:w="1532" w:type="pct"/>
          </w:tcPr>
          <w:p w14:paraId="6ECE8CF3" w14:textId="055095F9" w:rsidR="000A0569" w:rsidRPr="00ED172B" w:rsidRDefault="000A0569" w:rsidP="00C375EA">
            <w:pPr>
              <w:jc w:val="center"/>
              <w:rPr>
                <w:color w:val="000000" w:themeColor="text1"/>
              </w:rPr>
            </w:pPr>
          </w:p>
        </w:tc>
      </w:tr>
    </w:tbl>
    <w:p w14:paraId="1E64FA85" w14:textId="77777777" w:rsidR="0065724F" w:rsidRPr="00ED172B" w:rsidRDefault="0065724F">
      <w:pPr>
        <w:rPr>
          <w:b/>
          <w:color w:val="000000" w:themeColor="text1"/>
        </w:rPr>
      </w:pPr>
    </w:p>
    <w:p w14:paraId="2299CDE5" w14:textId="5EE810D6" w:rsidR="00715B7C" w:rsidRPr="00ED172B" w:rsidRDefault="00F22D09">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
      </w:tblPr>
      <w:tblGrid>
        <w:gridCol w:w="2059"/>
        <w:gridCol w:w="2133"/>
        <w:gridCol w:w="1419"/>
        <w:gridCol w:w="750"/>
        <w:gridCol w:w="885"/>
        <w:gridCol w:w="1019"/>
        <w:gridCol w:w="1282"/>
        <w:gridCol w:w="1243"/>
      </w:tblGrid>
      <w:tr w:rsidR="00ED172B" w:rsidRPr="00ED172B" w14:paraId="1FE1A8B6" w14:textId="77777777" w:rsidTr="00986B99">
        <w:trPr>
          <w:tblHeader/>
        </w:trPr>
        <w:tc>
          <w:tcPr>
            <w:tcW w:w="0" w:type="auto"/>
            <w:shd w:val="clear" w:color="auto" w:fill="auto"/>
          </w:tcPr>
          <w:p w14:paraId="47F7ACE9"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lastRenderedPageBreak/>
              <w:t>2.1.a.i Mediation agreements related to due process complaints</w:t>
            </w:r>
          </w:p>
        </w:tc>
        <w:tc>
          <w:tcPr>
            <w:tcW w:w="0" w:type="auto"/>
            <w:shd w:val="clear" w:color="auto" w:fill="auto"/>
            <w:vAlign w:val="bottom"/>
          </w:tcPr>
          <w:p w14:paraId="03B14E3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14:paraId="4411AF0D"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14:paraId="75756C39" w14:textId="07DABCDC" w:rsidR="003F7F2F" w:rsidRPr="00ED172B" w:rsidRDefault="00CD74B5" w:rsidP="00CD79C5">
            <w:pPr>
              <w:jc w:val="center"/>
              <w:rPr>
                <w:rFonts w:cs="Arial"/>
                <w:b/>
                <w:color w:val="000000" w:themeColor="text1"/>
                <w:szCs w:val="16"/>
              </w:rPr>
            </w:pPr>
            <w:r>
              <w:rPr>
                <w:rFonts w:cs="Arial"/>
                <w:b/>
                <w:color w:val="000000" w:themeColor="text1"/>
                <w:szCs w:val="16"/>
              </w:rPr>
              <w:t>FFY 2022 Data</w:t>
            </w:r>
          </w:p>
        </w:tc>
        <w:tc>
          <w:tcPr>
            <w:tcW w:w="0" w:type="auto"/>
            <w:shd w:val="clear" w:color="auto" w:fill="auto"/>
            <w:vAlign w:val="bottom"/>
          </w:tcPr>
          <w:p w14:paraId="34C5B321" w14:textId="6D8BFE10" w:rsidR="003F7F2F" w:rsidRPr="00ED172B" w:rsidRDefault="00F22D09" w:rsidP="00CD79C5">
            <w:pPr>
              <w:jc w:val="center"/>
              <w:rPr>
                <w:rFonts w:cs="Arial"/>
                <w:b/>
                <w:color w:val="000000" w:themeColor="text1"/>
                <w:szCs w:val="16"/>
              </w:rPr>
            </w:pPr>
            <w:r>
              <w:rPr>
                <w:rFonts w:cs="Arial"/>
                <w:b/>
                <w:color w:val="000000" w:themeColor="text1"/>
                <w:szCs w:val="16"/>
              </w:rPr>
              <w:t>FFY 2023 Target</w:t>
            </w:r>
          </w:p>
        </w:tc>
        <w:tc>
          <w:tcPr>
            <w:tcW w:w="472" w:type="pct"/>
            <w:shd w:val="clear" w:color="auto" w:fill="auto"/>
            <w:vAlign w:val="bottom"/>
          </w:tcPr>
          <w:p w14:paraId="1F75CC89" w14:textId="2E9EAA38" w:rsidR="003F7F2F" w:rsidRPr="00ED172B" w:rsidRDefault="00F22D09" w:rsidP="00CD79C5">
            <w:pPr>
              <w:jc w:val="center"/>
              <w:rPr>
                <w:rFonts w:cs="Arial"/>
                <w:b/>
                <w:color w:val="000000" w:themeColor="text1"/>
                <w:szCs w:val="16"/>
              </w:rPr>
            </w:pPr>
            <w:r>
              <w:rPr>
                <w:rFonts w:cs="Arial"/>
                <w:b/>
                <w:color w:val="000000" w:themeColor="text1"/>
                <w:szCs w:val="16"/>
              </w:rPr>
              <w:t>FFY 2023 Data</w:t>
            </w:r>
          </w:p>
        </w:tc>
        <w:tc>
          <w:tcPr>
            <w:tcW w:w="594" w:type="pct"/>
            <w:shd w:val="clear" w:color="auto" w:fill="auto"/>
            <w:vAlign w:val="bottom"/>
          </w:tcPr>
          <w:p w14:paraId="05346B8E"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14:paraId="470EDA8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6F6C016F" w14:textId="77777777" w:rsidTr="00986B99">
        <w:tc>
          <w:tcPr>
            <w:tcW w:w="0" w:type="auto"/>
            <w:shd w:val="clear" w:color="auto" w:fill="auto"/>
          </w:tcPr>
          <w:p w14:paraId="2F120EC8" w14:textId="33134B41"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62CDDF21" w14:textId="2544E9A4"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vAlign w:val="center"/>
          </w:tcPr>
          <w:p w14:paraId="0EF5D1FA" w14:textId="11C9790B"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07852742" w14:textId="74D08B36" w:rsidR="003F7F2F" w:rsidRPr="00ED172B" w:rsidRDefault="003F7F2F" w:rsidP="00320806">
            <w:pPr>
              <w:jc w:val="center"/>
              <w:rPr>
                <w:color w:val="000000" w:themeColor="text1"/>
              </w:rPr>
            </w:pPr>
          </w:p>
        </w:tc>
        <w:tc>
          <w:tcPr>
            <w:tcW w:w="0" w:type="auto"/>
            <w:shd w:val="clear" w:color="auto" w:fill="auto"/>
          </w:tcPr>
          <w:p w14:paraId="1A3FD4BD" w14:textId="73FB264C" w:rsidR="003F7F2F" w:rsidRPr="00ED172B" w:rsidRDefault="003F7F2F" w:rsidP="00320806">
            <w:pPr>
              <w:jc w:val="center"/>
              <w:rPr>
                <w:color w:val="000000" w:themeColor="text1"/>
              </w:rPr>
            </w:pPr>
          </w:p>
        </w:tc>
        <w:tc>
          <w:tcPr>
            <w:tcW w:w="472" w:type="pct"/>
            <w:shd w:val="clear" w:color="auto" w:fill="auto"/>
          </w:tcPr>
          <w:p w14:paraId="1DD10E42" w14:textId="62FF3817" w:rsidR="003F7F2F" w:rsidRPr="00ED172B" w:rsidRDefault="003F7F2F" w:rsidP="00320806">
            <w:pPr>
              <w:jc w:val="center"/>
              <w:rPr>
                <w:color w:val="000000" w:themeColor="text1"/>
              </w:rPr>
            </w:pPr>
          </w:p>
        </w:tc>
        <w:tc>
          <w:tcPr>
            <w:tcW w:w="594" w:type="pct"/>
            <w:shd w:val="clear" w:color="auto" w:fill="auto"/>
          </w:tcPr>
          <w:p w14:paraId="781CCB45" w14:textId="1DA4E651" w:rsidR="003F7F2F" w:rsidRPr="00ED172B" w:rsidRDefault="00320806" w:rsidP="00320806">
            <w:pPr>
              <w:jc w:val="center"/>
              <w:rPr>
                <w:color w:val="000000" w:themeColor="text1"/>
              </w:rPr>
            </w:pPr>
            <w:r w:rsidRPr="00ED172B">
              <w:rPr>
                <w:color w:val="000000" w:themeColor="text1"/>
              </w:rPr>
              <w:t>N/A</w:t>
            </w:r>
          </w:p>
        </w:tc>
        <w:tc>
          <w:tcPr>
            <w:tcW w:w="576" w:type="pct"/>
            <w:shd w:val="clear" w:color="auto" w:fill="auto"/>
          </w:tcPr>
          <w:p w14:paraId="03AF1958" w14:textId="597B8C94" w:rsidR="003F7F2F" w:rsidRPr="00ED172B" w:rsidRDefault="00320806" w:rsidP="00320806">
            <w:pPr>
              <w:jc w:val="center"/>
              <w:rPr>
                <w:color w:val="000000" w:themeColor="text1"/>
              </w:rPr>
            </w:pPr>
            <w:r w:rsidRPr="00ED172B">
              <w:rPr>
                <w:color w:val="000000" w:themeColor="text1"/>
              </w:rPr>
              <w:t>N/A</w:t>
            </w:r>
          </w:p>
        </w:tc>
      </w:tr>
    </w:tbl>
    <w:bookmarkEnd w:id="57"/>
    <w:bookmarkEnd w:id="58"/>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EA0143" w:rsidP="00EA0143">
      <w:pPr>
        <w:rPr>
          <w:rFonts w:cs="Arial"/>
          <w:color w:val="000000" w:themeColor="text1"/>
          <w:szCs w:val="16"/>
        </w:rPr>
      </w:pPr>
    </w:p>
    <w:p w14:paraId="51685558" w14:textId="51A1E7FE" w:rsidR="00DC0682" w:rsidRPr="00A40EE1" w:rsidRDefault="000D0117" w:rsidP="007B0787">
      <w:pPr>
        <w:pStyle w:val="Heading2"/>
      </w:pPr>
      <w:bookmarkStart w:id="59" w:name="_Hlk79570511"/>
      <w:r w:rsidRPr="00A40EE1">
        <w:t xml:space="preserve">10 - </w:t>
      </w:r>
      <w:r w:rsidR="00DC0682" w:rsidRPr="00A40EE1">
        <w:t>Prior FFY Required Actions</w:t>
      </w:r>
      <w:bookmarkEnd w:id="59"/>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t xml:space="preserve">10 - </w:t>
      </w:r>
      <w:r w:rsidR="00DC0682" w:rsidRPr="00A40EE1">
        <w:t>OSEP Response</w:t>
      </w:r>
    </w:p>
    <w:p w14:paraId="77C80526" w14:textId="1E2329A6" w:rsidR="00DC0682" w:rsidRPr="00ED172B" w:rsidRDefault="00320806" w:rsidP="00320806">
      <w:pPr>
        <w:rPr>
          <w:color w:val="000000" w:themeColor="text1"/>
        </w:rPr>
      </w:pPr>
      <w:r w:rsidRPr="00ED172B">
        <w:rPr>
          <w:color w:val="000000" w:themeColor="text1"/>
        </w:rPr>
        <w:t>The State reported fewer than ten mediations held in FFY 2023. The State is not required to provide targets until any fiscal year in which ten or more mediations were held.</w:t>
      </w: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DC0682" w:rsidP="00320806">
      <w:pPr>
        <w:rPr>
          <w:color w:val="000000" w:themeColor="text1"/>
        </w:rPr>
      </w:pPr>
    </w:p>
    <w:p w14:paraId="2A9527B0" w14:textId="77777777" w:rsidR="00DD311B" w:rsidRPr="00ED172B" w:rsidRDefault="00DD311B">
      <w:pPr>
        <w:spacing w:before="0" w:after="200" w:line="276" w:lineRule="auto"/>
        <w:rPr>
          <w:color w:val="000000" w:themeColor="text1"/>
        </w:rPr>
      </w:pPr>
      <w:r w:rsidRPr="00ED172B">
        <w:rPr>
          <w:color w:val="000000" w:themeColor="text1"/>
        </w:rPr>
        <w:br w:type="page"/>
      </w:r>
    </w:p>
    <w:p w14:paraId="256AFB11" w14:textId="2160FC96" w:rsidR="00621DEC" w:rsidRPr="00ED172B" w:rsidRDefault="00621DEC" w:rsidP="00621DEC">
      <w:pPr>
        <w:pStyle w:val="Heading1"/>
        <w:rPr>
          <w:color w:val="000000" w:themeColor="text1"/>
        </w:rPr>
      </w:pPr>
      <w:bookmarkStart w:id="60" w:name="_Hlk109646734"/>
      <w:bookmarkStart w:id="61" w:name="_Toc392159348"/>
      <w:r w:rsidRPr="00ED172B">
        <w:rPr>
          <w:color w:val="000000" w:themeColor="text1"/>
        </w:rPr>
        <w:lastRenderedPageBreak/>
        <w:t>Indicator 11: State Systemic Improvement Plan</w:t>
      </w:r>
    </w:p>
    <w:p w14:paraId="142E9252" w14:textId="77777777" w:rsidR="00621DEC" w:rsidRPr="00ED172B" w:rsidRDefault="00621DEC" w:rsidP="00621DEC">
      <w:pPr>
        <w:rPr>
          <w:color w:val="000000" w:themeColor="text1"/>
          <w:szCs w:val="20"/>
        </w:rPr>
      </w:pPr>
      <w:r w:rsidRPr="00ED172B">
        <w:rPr>
          <w:b/>
          <w:color w:val="000000" w:themeColor="text1"/>
          <w:sz w:val="20"/>
          <w:szCs w:val="20"/>
        </w:rPr>
        <w:t>Instructions and Measurement</w:t>
      </w:r>
    </w:p>
    <w:p w14:paraId="70329708" w14:textId="77777777" w:rsidR="00621DEC" w:rsidRPr="00621DEC" w:rsidRDefault="00621DEC" w:rsidP="00621DEC">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14:paraId="59B010C8" w14:textId="5FD8FE4C" w:rsidR="00621DEC" w:rsidRPr="00ED172B" w:rsidRDefault="00621DEC" w:rsidP="00621DE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14:paraId="60417113" w14:textId="77777777" w:rsidR="00621DEC" w:rsidRPr="00ED172B" w:rsidRDefault="00621DEC" w:rsidP="00621DEC">
      <w:pPr>
        <w:rPr>
          <w:b/>
          <w:color w:val="000000" w:themeColor="text1"/>
        </w:rPr>
      </w:pPr>
      <w:r w:rsidRPr="00ED172B">
        <w:rPr>
          <w:b/>
          <w:color w:val="000000" w:themeColor="text1"/>
        </w:rPr>
        <w:t>Measurement</w:t>
      </w:r>
    </w:p>
    <w:p w14:paraId="2258D5B6" w14:textId="77777777" w:rsidR="009E3024" w:rsidRDefault="009E3024" w:rsidP="009E3024">
      <w:r>
        <w:t>The State’s SPP/APR includes an SSIP that is a comprehensive, ambitious, yet achievable multi-year plan for improving results for infants and toddlers with disabilities and their families. The SSIP includes each of the components described below.</w:t>
      </w:r>
    </w:p>
    <w:p w14:paraId="7990113E" w14:textId="77777777" w:rsidR="00621DEC" w:rsidRPr="00ED172B" w:rsidRDefault="00621DEC" w:rsidP="00621DEC">
      <w:pPr>
        <w:rPr>
          <w:b/>
          <w:color w:val="000000" w:themeColor="text1"/>
        </w:rPr>
      </w:pPr>
      <w:r w:rsidRPr="00ED172B">
        <w:rPr>
          <w:b/>
          <w:color w:val="000000" w:themeColor="text1"/>
        </w:rPr>
        <w:t>Instructions</w:t>
      </w:r>
    </w:p>
    <w:p w14:paraId="29ABA6B1" w14:textId="48D3CB72" w:rsidR="00CE7219" w:rsidRPr="00D77E41" w:rsidRDefault="00CE7219" w:rsidP="00CE7219">
      <w:r w:rsidRPr="00C76255">
        <w:rPr>
          <w:b/>
          <w:i/>
        </w:rPr>
        <w:t>Baseline Data:</w:t>
      </w:r>
      <w:r w:rsidRPr="00D77E41">
        <w:t xml:space="preserve"> </w:t>
      </w:r>
      <w:r>
        <w:t>T</w:t>
      </w:r>
      <w:r w:rsidRPr="00D77E41">
        <w:t>he State must provide baseline data expressed as a percentage and which is aligned with the State-identified Measurable Result(s) for Infants and Toddlers with Disabilities and their Families.</w:t>
      </w:r>
    </w:p>
    <w:p w14:paraId="39268BD3" w14:textId="18973069" w:rsidR="00CE7219" w:rsidRPr="00D77E41" w:rsidRDefault="00CE7219" w:rsidP="00CE7219">
      <w:r w:rsidRPr="00C76255">
        <w:rPr>
          <w:b/>
          <w:i/>
        </w:rPr>
        <w:t>Targets:</w:t>
      </w:r>
      <w:r w:rsidRPr="00D77E41">
        <w:t xml:space="preserve"> </w:t>
      </w:r>
      <w:r w:rsidRPr="00790FB6">
        <w:t xml:space="preserve">In its FFY </w:t>
      </w:r>
      <w:r>
        <w:t>202</w:t>
      </w:r>
      <w:r w:rsidR="006C4702">
        <w:t>0</w:t>
      </w:r>
      <w:r w:rsidRPr="00790FB6">
        <w:t xml:space="preserve"> SPP/APR, due February </w:t>
      </w:r>
      <w:r>
        <w:t>1</w:t>
      </w:r>
      <w:r w:rsidRPr="00790FB6">
        <w:t xml:space="preserve">, </w:t>
      </w:r>
      <w:r>
        <w:t>202</w:t>
      </w:r>
      <w:r w:rsidR="006C4702">
        <w:t>2</w:t>
      </w:r>
      <w:r w:rsidRPr="00790FB6">
        <w:t>, the State must provide measurable and rigorous targets (expressed as percentages) for each of the</w:t>
      </w:r>
      <w:r w:rsidR="00CF4EC7">
        <w:t xml:space="preserve"> six</w:t>
      </w:r>
      <w:r w:rsidRPr="00790FB6">
        <w:t xml:space="preserve"> years from FFY </w:t>
      </w:r>
      <w:r>
        <w:t>202</w:t>
      </w:r>
      <w:r w:rsidR="006C4702">
        <w:t>0</w:t>
      </w:r>
      <w:r w:rsidRPr="00790FB6">
        <w:t xml:space="preserve"> through </w:t>
      </w:r>
      <w:r>
        <w:t>FFY 202</w:t>
      </w:r>
      <w:r w:rsidR="006C4702">
        <w:t>5</w:t>
      </w:r>
      <w:r w:rsidRPr="00790FB6">
        <w:t xml:space="preserve">. The State’s </w:t>
      </w:r>
      <w:r>
        <w:t>FFY 202</w:t>
      </w:r>
      <w:r w:rsidR="006C4702">
        <w:t>5</w:t>
      </w:r>
      <w:r w:rsidRPr="00790FB6">
        <w:t xml:space="preserve"> target must demonstrate improvement over the State’s baseline data.</w:t>
      </w:r>
    </w:p>
    <w:p w14:paraId="16CEE7FC" w14:textId="74956C98" w:rsidR="00CE7219" w:rsidRPr="00D77E41" w:rsidRDefault="00CE7219" w:rsidP="00CE7219">
      <w:r w:rsidRPr="00C76255">
        <w:rPr>
          <w:b/>
          <w:i/>
        </w:rPr>
        <w:t>Updated Data:</w:t>
      </w:r>
      <w:r w:rsidRPr="00D77E41">
        <w:t xml:space="preserve"> In its FFYs </w:t>
      </w:r>
      <w:r>
        <w:t>202</w:t>
      </w:r>
      <w:r w:rsidR="00A111ED">
        <w:t>0</w:t>
      </w:r>
      <w:r w:rsidRPr="00D77E41">
        <w:t xml:space="preserve"> through </w:t>
      </w:r>
      <w:r>
        <w:t>FFY 202</w:t>
      </w:r>
      <w:r w:rsidR="00A111ED">
        <w:t>5</w:t>
      </w:r>
      <w:r w:rsidRPr="00D77E41">
        <w:t xml:space="preserve"> SPPs/APRs, due February</w:t>
      </w:r>
      <w:r>
        <w:t xml:space="preserve"> </w:t>
      </w:r>
      <w:r w:rsidR="00CF4EC7">
        <w:t>2022</w:t>
      </w:r>
      <w:r w:rsidRPr="00D77E41">
        <w:t xml:space="preserve"> through February </w:t>
      </w:r>
      <w:r>
        <w:t>2027</w:t>
      </w:r>
      <w:r w:rsidRPr="00D77E41">
        <w:t>, the State must provide updated data for that specific FFY (expressed as percentages</w:t>
      </w:r>
      <w:r w:rsidR="00763F1C" w:rsidRPr="00D77E41">
        <w:t>),</w:t>
      </w:r>
      <w:r w:rsidRPr="00D77E41">
        <w:t xml:space="preserve"> and that data must be aligned with the State-identified Measurable Result(s) for Infants and Toddlers with Disabilities and their Families. In its FFYs </w:t>
      </w:r>
      <w:r>
        <w:t>202</w:t>
      </w:r>
      <w:r w:rsidR="006C4702">
        <w:t>0</w:t>
      </w:r>
      <w:r w:rsidRPr="00D77E41">
        <w:t xml:space="preserve"> through </w:t>
      </w:r>
      <w:r>
        <w:t>FFY 202</w:t>
      </w:r>
      <w:r w:rsidR="006C4702">
        <w:t>5</w:t>
      </w:r>
      <w:r w:rsidRPr="00D77E41">
        <w:t xml:space="preserve"> SPPs/APRs, the State must report on whether it met its target.</w:t>
      </w:r>
    </w:p>
    <w:p w14:paraId="514C1F1A" w14:textId="77777777" w:rsidR="009E3024" w:rsidRPr="00D77E41" w:rsidRDefault="009E3024" w:rsidP="009E3024">
      <w:pPr>
        <w:pStyle w:val="Subhed"/>
      </w:pPr>
      <w:r w:rsidRPr="00D77E41">
        <w:t xml:space="preserve">Overview of the </w:t>
      </w:r>
      <w:r>
        <w:t>T</w:t>
      </w:r>
      <w:r w:rsidRPr="00D77E41">
        <w:t xml:space="preserve">hree </w:t>
      </w:r>
      <w:r>
        <w:t>P</w:t>
      </w:r>
      <w:r w:rsidRPr="00D77E41">
        <w:t>hases of the SSIP</w:t>
      </w:r>
    </w:p>
    <w:p w14:paraId="705209A0" w14:textId="77777777" w:rsidR="009E3024" w:rsidRPr="00D77E41" w:rsidRDefault="009E3024" w:rsidP="009E3024">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14:paraId="16482F85" w14:textId="61FC5286" w:rsidR="009E3024" w:rsidRPr="00C76255" w:rsidRDefault="009E3024" w:rsidP="009E3024">
      <w:pPr>
        <w:pStyle w:val="Subhed"/>
        <w:rPr>
          <w:b w:val="0"/>
        </w:rPr>
      </w:pPr>
      <w:r w:rsidRPr="00C76255">
        <w:rPr>
          <w:i/>
        </w:rPr>
        <w:t>Phase I: Analysis</w:t>
      </w:r>
      <w:r w:rsidR="00FA283D">
        <w:rPr>
          <w:b w:val="0"/>
        </w:rPr>
        <w:t>:</w:t>
      </w:r>
    </w:p>
    <w:p w14:paraId="6A53C679" w14:textId="6EC1FD61" w:rsidR="009E3024" w:rsidRPr="00D77E41" w:rsidRDefault="00FB141D" w:rsidP="00F85A5B">
      <w:pPr>
        <w:ind w:left="360"/>
      </w:pPr>
      <w:r>
        <w:t xml:space="preserve">- </w:t>
      </w:r>
      <w:r w:rsidR="009E3024" w:rsidRPr="00D77E41">
        <w:t>Data Analysis;</w:t>
      </w:r>
    </w:p>
    <w:p w14:paraId="2AF202E6" w14:textId="7A737778" w:rsidR="009E3024" w:rsidRPr="00D77E41" w:rsidRDefault="00FB141D" w:rsidP="00F85A5B">
      <w:pPr>
        <w:ind w:left="360"/>
      </w:pPr>
      <w:r>
        <w:t xml:space="preserve">- </w:t>
      </w:r>
      <w:r w:rsidR="009E3024" w:rsidRPr="00D77E41">
        <w:t>Analysis of State Infrastructure to Support Improvement and Build Capacity;</w:t>
      </w:r>
    </w:p>
    <w:p w14:paraId="2165FD76" w14:textId="397475D4" w:rsidR="009E3024" w:rsidRPr="00D77E41" w:rsidRDefault="00FB141D" w:rsidP="00F85A5B">
      <w:pPr>
        <w:ind w:left="360"/>
      </w:pPr>
      <w:r>
        <w:t xml:space="preserve">- </w:t>
      </w:r>
      <w:r w:rsidR="009E3024" w:rsidRPr="00D77E41">
        <w:t>State-identified Measurable Result(s) for Infants and Toddlers with Disabilities and their Families;</w:t>
      </w:r>
    </w:p>
    <w:p w14:paraId="60B94B6B" w14:textId="79941E27" w:rsidR="009E3024" w:rsidRPr="00D77E41" w:rsidRDefault="00FB141D" w:rsidP="00F85A5B">
      <w:pPr>
        <w:ind w:left="360"/>
      </w:pPr>
      <w:r>
        <w:t xml:space="preserve">- </w:t>
      </w:r>
      <w:r w:rsidR="009E3024" w:rsidRPr="00D77E41">
        <w:t>Selection of Coherent Improvement Strategies; and</w:t>
      </w:r>
    </w:p>
    <w:p w14:paraId="3F8F2083" w14:textId="6DA8FD5D" w:rsidR="009E3024" w:rsidRPr="00D77E41" w:rsidRDefault="00FB141D" w:rsidP="00F85A5B">
      <w:pPr>
        <w:ind w:left="360"/>
      </w:pPr>
      <w:r>
        <w:t xml:space="preserve">- </w:t>
      </w:r>
      <w:r w:rsidR="009E3024" w:rsidRPr="00D77E41">
        <w:t>Theory of Action.</w:t>
      </w:r>
    </w:p>
    <w:p w14:paraId="70DF16DB" w14:textId="3C43E375" w:rsidR="009E3024" w:rsidRPr="00C76255" w:rsidRDefault="009E3024" w:rsidP="009E3024">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14:paraId="397CC486" w14:textId="0D68E6C4" w:rsidR="009E3024" w:rsidRPr="00D77E41" w:rsidRDefault="00C334F4" w:rsidP="0055373D">
      <w:pPr>
        <w:ind w:left="360"/>
      </w:pPr>
      <w:r>
        <w:t xml:space="preserve">- </w:t>
      </w:r>
      <w:r w:rsidR="009E3024" w:rsidRPr="00D77E41">
        <w:t>Infrastructure Development;</w:t>
      </w:r>
    </w:p>
    <w:p w14:paraId="028C10FD" w14:textId="494E6925" w:rsidR="009E3024" w:rsidRPr="00D77E41" w:rsidRDefault="00C334F4" w:rsidP="0055373D">
      <w:pPr>
        <w:ind w:left="360"/>
      </w:pPr>
      <w:r>
        <w:t xml:space="preserve">- </w:t>
      </w:r>
      <w:r w:rsidR="009E3024" w:rsidRPr="00D77E41">
        <w:t>Support for EIS Program and/or EIS Provider Implementation of Evidence-Based Practices; and</w:t>
      </w:r>
    </w:p>
    <w:p w14:paraId="52747840" w14:textId="0BC142ED" w:rsidR="009E3024" w:rsidRPr="00D77E41" w:rsidRDefault="00C334F4" w:rsidP="0055373D">
      <w:pPr>
        <w:ind w:left="360"/>
      </w:pPr>
      <w:r>
        <w:t xml:space="preserve">- </w:t>
      </w:r>
      <w:r w:rsidR="009E3024" w:rsidRPr="00D77E41">
        <w:t>Evaluation.</w:t>
      </w:r>
    </w:p>
    <w:p w14:paraId="59360DE3" w14:textId="6A7A23F1" w:rsidR="009E3024" w:rsidRPr="00C76255" w:rsidRDefault="009E3024" w:rsidP="009E3024">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14:paraId="09BF97C2" w14:textId="1D61436C" w:rsidR="009E3024" w:rsidRPr="00D77E41" w:rsidRDefault="00FB141D" w:rsidP="00F85A5B">
      <w:pPr>
        <w:ind w:left="360"/>
      </w:pPr>
      <w:r>
        <w:t xml:space="preserve">- </w:t>
      </w:r>
      <w:r w:rsidR="009E3024" w:rsidRPr="00D77E41">
        <w:t>Results of Ongoing Evaluation and Revisions to the SSIP.</w:t>
      </w:r>
    </w:p>
    <w:p w14:paraId="162D9C3C" w14:textId="77777777" w:rsidR="009E3024" w:rsidRPr="00C76255" w:rsidRDefault="009E3024" w:rsidP="009E3024">
      <w:pPr>
        <w:rPr>
          <w:b/>
        </w:rPr>
      </w:pPr>
      <w:r w:rsidRPr="00C76255">
        <w:rPr>
          <w:b/>
        </w:rPr>
        <w:t>Specific Content of Each Phase of the SSIP</w:t>
      </w:r>
    </w:p>
    <w:p w14:paraId="6ECF6A75" w14:textId="6AC1BD99" w:rsidR="009E3024" w:rsidRPr="00D77E41" w:rsidRDefault="009E3024" w:rsidP="009E3024">
      <w:r w:rsidRPr="00D77E41">
        <w:t>Refer to FFY 2013-2015 Measurement Table for detailed requirements of Phase I and Phase II SSIP submissions.</w:t>
      </w:r>
    </w:p>
    <w:p w14:paraId="26340158" w14:textId="77777777" w:rsidR="009E3024" w:rsidRPr="00D77E41" w:rsidRDefault="009E3024" w:rsidP="009E3024">
      <w:r w:rsidRPr="00D77E41">
        <w:t>Phase III should only include information from Phase I or Phase II if changes or revisions are being made by the State and/or if information previously required in Phase I or Phase II was not reported.</w:t>
      </w:r>
    </w:p>
    <w:p w14:paraId="342443BE" w14:textId="77777777" w:rsidR="009E3024" w:rsidRPr="00C76255" w:rsidRDefault="009E3024" w:rsidP="009E3024">
      <w:pPr>
        <w:rPr>
          <w:b/>
          <w:i/>
        </w:rPr>
      </w:pPr>
      <w:r w:rsidRPr="00C76255">
        <w:rPr>
          <w:b/>
          <w:i/>
        </w:rPr>
        <w:t>Phase III: Implementation and Evaluation</w:t>
      </w:r>
    </w:p>
    <w:p w14:paraId="6E47A165" w14:textId="77777777" w:rsidR="009E3024" w:rsidRPr="00D77E41" w:rsidRDefault="009E3024" w:rsidP="009E3024">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4D078392" w14:textId="77777777" w:rsidR="009E3024" w:rsidRPr="00D77E41" w:rsidRDefault="009E3024" w:rsidP="009E3024">
      <w:pPr>
        <w:tabs>
          <w:tab w:val="left" w:pos="270"/>
          <w:tab w:val="left" w:pos="630"/>
        </w:tabs>
      </w:pPr>
      <w:r w:rsidRPr="00D77E41">
        <w:t>A</w:t>
      </w:r>
      <w:r>
        <w:t>.</w:t>
      </w:r>
      <w:r w:rsidRPr="00D77E41">
        <w:t xml:space="preserve"> </w:t>
      </w:r>
      <w:r>
        <w:tab/>
      </w:r>
      <w:r w:rsidRPr="00D77E41">
        <w:t>Data Analysis</w:t>
      </w:r>
    </w:p>
    <w:p w14:paraId="344F56D3" w14:textId="0C06481A" w:rsidR="009E3024" w:rsidRPr="00D77E41" w:rsidRDefault="009E3024" w:rsidP="009E3024">
      <w:r w:rsidRPr="00D77E41">
        <w:t xml:space="preserve">As required in the Instructions for the Indicator/Measurement, in its FFYs </w:t>
      </w:r>
      <w:r w:rsidR="00483791">
        <w:t>202</w:t>
      </w:r>
      <w:r w:rsidR="007137B3">
        <w:t>0</w:t>
      </w:r>
      <w:r w:rsidR="00483791" w:rsidRPr="00D77E41">
        <w:t xml:space="preserve"> </w:t>
      </w:r>
      <w:r w:rsidRPr="00D77E41">
        <w:t xml:space="preserve">through </w:t>
      </w:r>
      <w:r>
        <w:t>FFY 202</w:t>
      </w:r>
      <w:r w:rsidR="007137B3">
        <w:t>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62C2ADDF" w14:textId="77777777" w:rsidR="009E3024" w:rsidRPr="00D77E41" w:rsidRDefault="009E3024" w:rsidP="009E3024">
      <w:pPr>
        <w:tabs>
          <w:tab w:val="left" w:pos="360"/>
        </w:tabs>
      </w:pPr>
      <w:r w:rsidRPr="00D77E41">
        <w:t>B</w:t>
      </w:r>
      <w:r>
        <w:t>.</w:t>
      </w:r>
      <w:r w:rsidRPr="00D77E41">
        <w:t xml:space="preserve"> </w:t>
      </w:r>
      <w:r>
        <w:tab/>
      </w:r>
      <w:r w:rsidRPr="00D77E41">
        <w:t>Phase III Implementation, Analysis and Evaluation</w:t>
      </w:r>
    </w:p>
    <w:p w14:paraId="61954051" w14:textId="2373EC92" w:rsidR="009E3024" w:rsidRPr="00D77E41" w:rsidRDefault="009E3024" w:rsidP="009E3024">
      <w:r w:rsidRPr="00D77E41">
        <w:t xml:space="preserve">The State must provide a narrative or graphic representation, </w:t>
      </w:r>
      <w:r w:rsidR="00B04149">
        <w:t>(</w:t>
      </w:r>
      <w:r w:rsidRPr="00D77E41">
        <w:t>e.g., a logic model</w:t>
      </w:r>
      <w:r w:rsidR="00B04149">
        <w:t>)</w:t>
      </w:r>
      <w:r w:rsidRPr="00D77E41">
        <w:t xml:space="preserve"> of the principal activities, measures and outcomes that were implemented since the State’s last SSIP submission (i.e., </w:t>
      </w:r>
      <w:r w:rsidR="00CE7219">
        <w:t xml:space="preserve">February </w:t>
      </w:r>
      <w:r>
        <w:t>1</w:t>
      </w:r>
      <w:r w:rsidRPr="00D77E41">
        <w:t xml:space="preserve">, </w:t>
      </w:r>
      <w:r w:rsidR="00555AD9">
        <w:t>202</w:t>
      </w:r>
      <w:r w:rsidR="00CB01DA">
        <w:t>4</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35D14A61" w14:textId="23E396BC" w:rsidR="009E3024" w:rsidRPr="00D77E41" w:rsidRDefault="009E3024" w:rsidP="009E3024">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 xml:space="preserve">FFY </w:t>
      </w:r>
      <w:r w:rsidR="00BC6E1E">
        <w:t>202</w:t>
      </w:r>
      <w:r w:rsidR="00CB01DA">
        <w:t>3</w:t>
      </w:r>
      <w:r w:rsidR="00BC6E1E" w:rsidRPr="00D77E41">
        <w:t xml:space="preserve"> </w:t>
      </w:r>
      <w:r w:rsidRPr="00D77E41">
        <w:t xml:space="preserve">APR, report on anticipated outcomes to be obtained during FFY </w:t>
      </w:r>
      <w:r w:rsidR="00BC6E1E">
        <w:t>202</w:t>
      </w:r>
      <w:r w:rsidR="00CB01DA">
        <w:t>4</w:t>
      </w:r>
      <w:r w:rsidRPr="00D77E41">
        <w:t xml:space="preserve">, i.e., July 1, </w:t>
      </w:r>
      <w:r>
        <w:t>202</w:t>
      </w:r>
      <w:r w:rsidR="00CB01DA">
        <w:t>4</w:t>
      </w:r>
      <w:r w:rsidRPr="00D77E41">
        <w:t xml:space="preserve">-June 30, </w:t>
      </w:r>
      <w:r>
        <w:t>202</w:t>
      </w:r>
      <w:r w:rsidR="00CB01DA">
        <w:t>5</w:t>
      </w:r>
      <w:r w:rsidRPr="00D77E41">
        <w:t>).</w:t>
      </w:r>
    </w:p>
    <w:p w14:paraId="391F34BE" w14:textId="089C8C20" w:rsidR="009E3024" w:rsidRPr="00D77E41" w:rsidRDefault="009E3024" w:rsidP="009E3024">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bookmarkStart w:id="62" w:name="_Hlk109647955"/>
      <w:r w:rsidRPr="00D77E41">
        <w:t>(</w:t>
      </w:r>
      <w:r w:rsidR="00F37E58" w:rsidRPr="00D21F29">
        <w:rPr>
          <w:i/>
          <w:iCs/>
        </w:rPr>
        <w:t>e.</w:t>
      </w:r>
      <w:r w:rsidR="00B04149" w:rsidRPr="00D21F29">
        <w:rPr>
          <w:i/>
          <w:iCs/>
        </w:rPr>
        <w:t>g.</w:t>
      </w:r>
      <w:r w:rsidRPr="00D21F29">
        <w:rPr>
          <w:i/>
          <w:iCs/>
        </w:rPr>
        <w:t>,</w:t>
      </w:r>
      <w:r w:rsidRPr="00D77E41">
        <w:t xml:space="preserve"> behaviors), parent/caregiver outcomes, </w:t>
      </w:r>
      <w:r w:rsidRPr="00D77E41">
        <w:lastRenderedPageBreak/>
        <w:t>and/or child outcomes. Describe any additional data (</w:t>
      </w:r>
      <w:r w:rsidR="00B04149" w:rsidRPr="00D21F29">
        <w:rPr>
          <w:i/>
          <w:iCs/>
        </w:rPr>
        <w:t>e.g</w:t>
      </w:r>
      <w:r w:rsidRPr="00D21F29">
        <w:rPr>
          <w:i/>
          <w:iCs/>
        </w:rPr>
        <w:t>.,</w:t>
      </w:r>
      <w:r w:rsidRPr="00D77E41">
        <w:t xml:space="preserve"> progress monitoring data) that was collected to support the on-going use of the evidence-based practices and inform decision-making for the next year of SSIP implementation.</w:t>
      </w:r>
      <w:bookmarkEnd w:id="62"/>
    </w:p>
    <w:p w14:paraId="7D373E21" w14:textId="77777777" w:rsidR="009E3024" w:rsidRPr="00D77E41" w:rsidRDefault="009E3024" w:rsidP="009E3024">
      <w:pPr>
        <w:tabs>
          <w:tab w:val="left" w:pos="270"/>
        </w:tabs>
      </w:pPr>
      <w:r w:rsidRPr="00D77E41">
        <w:t>C</w:t>
      </w:r>
      <w:r>
        <w:t xml:space="preserve">. </w:t>
      </w:r>
      <w:r>
        <w:tab/>
      </w:r>
      <w:r w:rsidRPr="00D77E41">
        <w:t>Stakeholder Engagement</w:t>
      </w:r>
    </w:p>
    <w:p w14:paraId="4B576169" w14:textId="77777777" w:rsidR="009E3024" w:rsidRPr="00D77E41" w:rsidRDefault="009E3024" w:rsidP="009E3024">
      <w:r w:rsidRPr="00D77E41">
        <w:t>The State must describe the specific strategies implemented to engage stakeholders in key improvement efforts and how the State addressed concerns, if any, raised by stakeholders through its engagement activities.</w:t>
      </w:r>
    </w:p>
    <w:p w14:paraId="7240E8DC" w14:textId="77777777" w:rsidR="009E3024" w:rsidRPr="00D77E41" w:rsidRDefault="009E3024" w:rsidP="009E3024">
      <w:r w:rsidRPr="00D77E41">
        <w:t>Additional Implementation Activities</w:t>
      </w:r>
    </w:p>
    <w:p w14:paraId="3F323975" w14:textId="70E75C98" w:rsidR="009E3024" w:rsidRDefault="009E3024" w:rsidP="009E3024">
      <w:r w:rsidRPr="00D77E41">
        <w:t xml:space="preserve">The State should identify any activities not already described that it intends to implement in the next fiscal year (e.g., for the </w:t>
      </w:r>
      <w:r>
        <w:t xml:space="preserve">FFY </w:t>
      </w:r>
      <w:r w:rsidR="00B7212B">
        <w:t>202</w:t>
      </w:r>
      <w:r w:rsidR="00CB01DA">
        <w:t>3</w:t>
      </w:r>
      <w:r w:rsidR="00B7212B" w:rsidRPr="00D77E41">
        <w:t xml:space="preserve"> </w:t>
      </w:r>
      <w:r w:rsidRPr="00D77E41">
        <w:t xml:space="preserve">APR, report on activities it intends to implement in FFY </w:t>
      </w:r>
      <w:r w:rsidR="00B7212B">
        <w:t>202</w:t>
      </w:r>
      <w:r w:rsidR="00CB01DA">
        <w:t>4</w:t>
      </w:r>
      <w:r w:rsidRPr="00D77E41">
        <w:t xml:space="preserve">, i.e., July 1, </w:t>
      </w:r>
      <w:r>
        <w:t>202</w:t>
      </w:r>
      <w:r w:rsidR="00CB01DA">
        <w:t>4</w:t>
      </w:r>
      <w:r w:rsidRPr="00D77E41">
        <w:t xml:space="preserve">-June 30, </w:t>
      </w:r>
      <w:r>
        <w:t>202</w:t>
      </w:r>
      <w:r w:rsidR="00CB01DA">
        <w:t>5</w:t>
      </w:r>
      <w:r w:rsidRPr="00D77E41">
        <w:t>) including a timeline, anticipated data collection and measures, and expected outcomes that are related to the SiMR. The State should describe any newly identified barriers and include steps to address these barriers.</w:t>
      </w:r>
    </w:p>
    <w:bookmarkEnd w:id="60"/>
    <w:p w14:paraId="091FCDF2" w14:textId="2F330FEF" w:rsidR="00F5460E" w:rsidRDefault="00F5460E" w:rsidP="00F5460E">
      <w:pPr>
        <w:pStyle w:val="Heading2"/>
      </w:pPr>
      <w:r w:rsidRPr="00A40EE1">
        <w:t>1</w:t>
      </w:r>
      <w:r>
        <w:t>1</w:t>
      </w:r>
      <w:r w:rsidRPr="00A40EE1">
        <w:t xml:space="preserve"> - </w:t>
      </w:r>
      <w:r w:rsidRPr="000A364E">
        <w:t>Indicator Data</w:t>
      </w:r>
    </w:p>
    <w:p w14:paraId="62AF478C" w14:textId="77777777" w:rsidR="00741E58" w:rsidRPr="00F85A5B" w:rsidRDefault="00741E58" w:rsidP="00741E58">
      <w:pPr>
        <w:rPr>
          <w:b/>
          <w:bCs/>
        </w:rPr>
      </w:pPr>
      <w:r w:rsidRPr="00F85A5B">
        <w:rPr>
          <w:b/>
          <w:bCs/>
        </w:rPr>
        <w:t>Section A: Data Analysis</w:t>
      </w:r>
    </w:p>
    <w:p w14:paraId="54F70263" w14:textId="58D3F4C5" w:rsidR="00F5460E" w:rsidRDefault="00741E58" w:rsidP="00741E58">
      <w:pPr>
        <w:rPr>
          <w:b/>
          <w:bCs/>
        </w:rPr>
      </w:pPr>
      <w:r w:rsidRPr="00F85A5B">
        <w:rPr>
          <w:b/>
          <w:bCs/>
        </w:rPr>
        <w:t>What is the State-identified Measurable Result (SiMR)?</w:t>
      </w:r>
    </w:p>
    <w:p w14:paraId="5EF17788" w14:textId="2FA358EC" w:rsidR="008517CB" w:rsidRPr="00F85A5B" w:rsidRDefault="008517CB" w:rsidP="00741E58">
      <w:pPr>
        <w:rPr>
          <w:color w:val="000000" w:themeColor="text1"/>
        </w:rPr>
      </w:pPr>
      <w:r w:rsidRPr="00ED172B">
        <w:rPr>
          <w:color w:val="000000" w:themeColor="text1"/>
        </w:rPr>
        <w:t>The EarlySteps system will improve child outcomes through supports that are focused on family concerns, priorities, and resources (CPRs).</w:t>
      </w:r>
    </w:p>
    <w:p w14:paraId="3035665E" w14:textId="2B992CBD" w:rsidR="008517CB" w:rsidRDefault="008517CB" w:rsidP="008517CB">
      <w:pPr>
        <w:rPr>
          <w:b/>
          <w:bCs/>
        </w:rPr>
      </w:pPr>
      <w:r w:rsidRPr="008517CB">
        <w:rPr>
          <w:b/>
          <w:bCs/>
        </w:rPr>
        <w:t>Has the SiMR changed since the last SSIP submission? (yes/no)</w:t>
      </w:r>
    </w:p>
    <w:p w14:paraId="1894103D" w14:textId="08DFDF04" w:rsidR="001C46CD" w:rsidRPr="000123EB" w:rsidRDefault="001C46CD" w:rsidP="008517CB">
      <w:r w:rsidRPr="000123EB">
        <w:t>NO</w:t>
      </w:r>
    </w:p>
    <w:p w14:paraId="6EC47F33" w14:textId="77777777" w:rsidR="00E46F5E" w:rsidRDefault="00E46F5E" w:rsidP="008517CB">
      <w:pPr>
        <w:rPr>
          <w:b/>
          <w:bCs/>
        </w:rPr>
      </w:pPr>
    </w:p>
    <w:p w14:paraId="160C27D7" w14:textId="03F97943" w:rsidR="008517CB" w:rsidRDefault="008517CB" w:rsidP="008517CB">
      <w:pPr>
        <w:rPr>
          <w:b/>
          <w:bCs/>
        </w:rPr>
      </w:pPr>
      <w:bookmarkStart w:id="63" w:name="_Hlk109646818"/>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00CD071F" w:rsidRPr="00CD071F">
        <w:rPr>
          <w:b/>
          <w:bCs/>
        </w:rPr>
        <w:t>(yes/no)</w:t>
      </w:r>
    </w:p>
    <w:bookmarkEnd w:id="63"/>
    <w:p w14:paraId="2DFF9C44" w14:textId="3D7DE653" w:rsidR="00E46F5E" w:rsidRPr="000123EB" w:rsidRDefault="00E46F5E" w:rsidP="008517CB">
      <w:pPr>
        <w:rPr>
          <w:color w:val="000000" w:themeColor="text1"/>
        </w:rPr>
      </w:pPr>
      <w:r w:rsidRPr="000123EB">
        <w:rPr>
          <w:color w:val="000000" w:themeColor="text1"/>
        </w:rPr>
        <w:t>NO</w:t>
      </w:r>
    </w:p>
    <w:p w14:paraId="750D781D" w14:textId="77777777" w:rsidR="00E46F5E" w:rsidRPr="008517CB" w:rsidRDefault="00E46F5E" w:rsidP="008517CB">
      <w:pPr>
        <w:rPr>
          <w:b/>
          <w:bCs/>
        </w:rPr>
      </w:pPr>
    </w:p>
    <w:p w14:paraId="67311EEB" w14:textId="5E251F48" w:rsidR="00A5616C" w:rsidRDefault="00A5616C" w:rsidP="00A5616C">
      <w:pPr>
        <w:rPr>
          <w:b/>
          <w:bCs/>
        </w:rPr>
      </w:pPr>
      <w:bookmarkStart w:id="64" w:name="_Hlk109646832"/>
      <w:r w:rsidRPr="00A5616C">
        <w:rPr>
          <w:b/>
          <w:bCs/>
        </w:rPr>
        <w:t>Is the State’s theory of action new or revised since the previous submission? (yes/no)</w:t>
      </w:r>
    </w:p>
    <w:bookmarkEnd w:id="64"/>
    <w:p w14:paraId="66909F1C" w14:textId="33FCF0A9" w:rsidR="00A5616C" w:rsidRPr="000123EB" w:rsidRDefault="00A5616C" w:rsidP="00A5616C">
      <w:r w:rsidRPr="000123EB">
        <w:t>NO</w:t>
      </w:r>
    </w:p>
    <w:p w14:paraId="0D9538A8" w14:textId="7B83F3AB" w:rsidR="00305E79" w:rsidRPr="00305E79" w:rsidRDefault="00305E79" w:rsidP="00305E79">
      <w:pPr>
        <w:rPr>
          <w:rFonts w:cs="Arial"/>
          <w:b/>
          <w:bCs/>
          <w:szCs w:val="16"/>
        </w:rPr>
      </w:pPr>
      <w:r w:rsidRPr="0055373D">
        <w:rPr>
          <w:rFonts w:cs="Arial"/>
          <w:b/>
          <w:bCs/>
          <w:szCs w:val="16"/>
        </w:rPr>
        <w:t>Please provide a link to the current theory of action.</w:t>
      </w:r>
    </w:p>
    <w:p w14:paraId="0FC0C59D" w14:textId="4CA000ED" w:rsidR="00305E79" w:rsidRPr="00F85A5B" w:rsidRDefault="00305E79" w:rsidP="00305E79">
      <w:r w:rsidRPr="00FD59F0">
        <w:t>https://ldh.la.gov/page/early-steps</w:t>
      </w:r>
    </w:p>
    <w:p w14:paraId="7076EF11" w14:textId="77777777" w:rsidR="006A3544" w:rsidRDefault="006A3544" w:rsidP="008517CB">
      <w:pPr>
        <w:rPr>
          <w:b/>
          <w:bCs/>
        </w:rPr>
      </w:pPr>
    </w:p>
    <w:p w14:paraId="106F39B4" w14:textId="77777777" w:rsidR="00A3455E" w:rsidRDefault="00A3455E" w:rsidP="00A3455E">
      <w:pPr>
        <w:pStyle w:val="Subhed"/>
      </w:pPr>
      <w:bookmarkStart w:id="65" w:name="_Hlk109646858"/>
      <w:r w:rsidRPr="000315F0">
        <w:t>Progress toward the SiMR</w:t>
      </w:r>
    </w:p>
    <w:p w14:paraId="16056B16" w14:textId="399C7865" w:rsidR="00A3455E" w:rsidRPr="00250728" w:rsidRDefault="00A3455E" w:rsidP="00A3455E">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p>
    <w:p w14:paraId="3645021F" w14:textId="058BAA46" w:rsidR="00A3455E" w:rsidRDefault="00A3455E" w:rsidP="00741E58">
      <w:pPr>
        <w:rPr>
          <w:b/>
          <w:bCs/>
        </w:rPr>
      </w:pPr>
      <w:r w:rsidRPr="00A3455E">
        <w:rPr>
          <w:b/>
          <w:bCs/>
        </w:rPr>
        <w:t>Select yes if the State uses two targets for measurement. (yes/no)</w:t>
      </w:r>
    </w:p>
    <w:bookmarkEnd w:id="65"/>
    <w:p w14:paraId="1D770D42" w14:textId="74DA622B" w:rsidR="00C00467" w:rsidRPr="000123EB" w:rsidRDefault="00935B33" w:rsidP="00741E58">
      <w:r w:rsidRPr="000123EB">
        <w:t>NO</w:t>
      </w:r>
    </w:p>
    <w:p w14:paraId="0023F992" w14:textId="77777777" w:rsidR="00C83574" w:rsidRDefault="00C83574" w:rsidP="00C83574">
      <w:pPr>
        <w:rPr>
          <w:rFonts w:cs="Arial"/>
          <w:b/>
          <w:color w:val="000000" w:themeColor="text1"/>
          <w:szCs w:val="16"/>
        </w:rPr>
      </w:pPr>
      <w:r w:rsidRPr="00ED172B">
        <w:rPr>
          <w:rFonts w:cs="Arial"/>
          <w:b/>
          <w:color w:val="000000" w:themeColor="text1"/>
          <w:szCs w:val="16"/>
        </w:rPr>
        <w:t>Historical Data</w:t>
      </w:r>
    </w:p>
    <w:p w14:paraId="7F2A0158" w14:textId="77777777" w:rsidR="00C83574" w:rsidRDefault="00C83574" w:rsidP="00C83574">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BASELINEDATA"/>
      </w:tblPr>
      <w:tblGrid>
        <w:gridCol w:w="1788"/>
        <w:gridCol w:w="1898"/>
      </w:tblGrid>
      <w:tr w:rsidR="008C5AD3" w:rsidRPr="00ED172B" w14:paraId="0EFB88A4" w14:textId="77777777">
        <w:trPr>
          <w:trHeight w:val="350"/>
          <w:tblHeader/>
        </w:trPr>
        <w:tc>
          <w:tcPr>
            <w:tcW w:w="2425" w:type="pct"/>
            <w:tcBorders>
              <w:bottom w:val="single" w:sz="4" w:space="0" w:color="auto"/>
            </w:tcBorders>
            <w:shd w:val="clear" w:color="auto" w:fill="auto"/>
            <w:vAlign w:val="center"/>
          </w:tcPr>
          <w:p w14:paraId="2D527EBC" w14:textId="77777777" w:rsidR="008C5AD3" w:rsidRPr="001071FD" w:rsidRDefault="008C5AD3" w:rsidP="0082735C">
            <w:pPr>
              <w:jc w:val="center"/>
              <w:rPr>
                <w:b/>
                <w:bCs/>
                <w:color w:val="000000" w:themeColor="text1"/>
              </w:rPr>
            </w:pPr>
            <w:r>
              <w:rPr>
                <w:b/>
                <w:bCs/>
                <w:color w:val="000000" w:themeColor="text1"/>
              </w:rPr>
              <w:t>Baseline Year</w:t>
            </w:r>
          </w:p>
        </w:tc>
        <w:tc>
          <w:tcPr>
            <w:tcW w:w="2575" w:type="pct"/>
            <w:shd w:val="clear" w:color="auto" w:fill="auto"/>
            <w:vAlign w:val="center"/>
          </w:tcPr>
          <w:p w14:paraId="50D4CE4F" w14:textId="77777777" w:rsidR="008C5AD3" w:rsidRPr="001071FD" w:rsidRDefault="008C5AD3" w:rsidP="0082735C">
            <w:pPr>
              <w:jc w:val="center"/>
              <w:rPr>
                <w:b/>
                <w:bCs/>
                <w:color w:val="000000" w:themeColor="text1"/>
              </w:rPr>
            </w:pPr>
            <w:r w:rsidRPr="001071FD">
              <w:rPr>
                <w:b/>
                <w:bCs/>
                <w:color w:val="000000" w:themeColor="text1"/>
              </w:rPr>
              <w:t>Baseline Data</w:t>
            </w:r>
          </w:p>
        </w:tc>
      </w:tr>
      <w:tr w:rsidR="008C5AD3" w:rsidRPr="00ED172B" w14:paraId="5A4971F9" w14:textId="77777777">
        <w:trPr>
          <w:trHeight w:val="350"/>
        </w:trPr>
        <w:tc>
          <w:tcPr>
            <w:tcW w:w="2425" w:type="pct"/>
            <w:tcBorders>
              <w:bottom w:val="single" w:sz="4" w:space="0" w:color="auto"/>
            </w:tcBorders>
            <w:shd w:val="clear" w:color="auto" w:fill="auto"/>
          </w:tcPr>
          <w:p w14:paraId="62B5AA2F" w14:textId="66A1FAED" w:rsidR="008C5AD3" w:rsidRPr="00ED172B" w:rsidRDefault="008C5AD3" w:rsidP="0082735C">
            <w:pPr>
              <w:jc w:val="center"/>
              <w:rPr>
                <w:b/>
                <w:color w:val="000000" w:themeColor="text1"/>
              </w:rPr>
            </w:pPr>
            <w:r w:rsidRPr="00ED172B">
              <w:rPr>
                <w:color w:val="000000" w:themeColor="text1"/>
              </w:rPr>
              <w:t>2013</w:t>
            </w:r>
          </w:p>
        </w:tc>
        <w:tc>
          <w:tcPr>
            <w:tcW w:w="2575" w:type="pct"/>
            <w:shd w:val="clear" w:color="auto" w:fill="auto"/>
            <w:vAlign w:val="center"/>
          </w:tcPr>
          <w:p w14:paraId="6E4EA629" w14:textId="5D8BB69D" w:rsidR="008C5AD3" w:rsidRPr="00ED172B" w:rsidRDefault="008C5AD3" w:rsidP="0082735C">
            <w:pPr>
              <w:jc w:val="center"/>
              <w:rPr>
                <w:color w:val="000000" w:themeColor="text1"/>
              </w:rPr>
            </w:pPr>
            <w:r w:rsidRPr="00ED172B">
              <w:rPr>
                <w:color w:val="000000" w:themeColor="text1"/>
              </w:rPr>
              <w:t>42.50%</w:t>
            </w:r>
          </w:p>
        </w:tc>
      </w:tr>
    </w:tbl>
    <w:p w14:paraId="42E70098" w14:textId="77777777" w:rsidR="00C83574" w:rsidRDefault="00C83574" w:rsidP="00E7729E">
      <w:pPr>
        <w:rPr>
          <w:b/>
          <w:color w:val="000000" w:themeColor="text1"/>
        </w:rPr>
      </w:pPr>
    </w:p>
    <w:p w14:paraId="65CF2969" w14:textId="77777777" w:rsidR="00C83574" w:rsidRDefault="00C83574" w:rsidP="00E7729E">
      <w:pPr>
        <w:rPr>
          <w:b/>
          <w:color w:val="000000" w:themeColor="text1"/>
        </w:rPr>
      </w:pPr>
    </w:p>
    <w:p w14:paraId="4233C402" w14:textId="77777777" w:rsidR="00C00467" w:rsidRDefault="00C00467" w:rsidP="00E7729E">
      <w:pPr>
        <w:rPr>
          <w:b/>
          <w:color w:val="000000" w:themeColor="text1"/>
        </w:rPr>
      </w:pPr>
    </w:p>
    <w:p w14:paraId="68448D17" w14:textId="77777777" w:rsidR="00C00467" w:rsidRDefault="00C00467" w:rsidP="00E7729E">
      <w:pPr>
        <w:rPr>
          <w:b/>
          <w:color w:val="000000" w:themeColor="text1"/>
        </w:rPr>
      </w:pPr>
    </w:p>
    <w:p w14:paraId="59B3B9CC" w14:textId="77777777" w:rsidR="00C00467" w:rsidRDefault="00C00467" w:rsidP="00E7729E">
      <w:pPr>
        <w:rPr>
          <w:b/>
          <w:color w:val="000000" w:themeColor="text1"/>
        </w:rPr>
      </w:pPr>
    </w:p>
    <w:p w14:paraId="1FB4EA3C" w14:textId="77777777" w:rsidR="00C00467" w:rsidRDefault="00C00467" w:rsidP="00E7729E">
      <w:pPr>
        <w:rPr>
          <w:b/>
          <w:color w:val="000000" w:themeColor="text1"/>
        </w:rPr>
      </w:pPr>
    </w:p>
    <w:p w14:paraId="6F57E88A" w14:textId="7FC386E1" w:rsidR="00E7729E" w:rsidRPr="00ED172B" w:rsidRDefault="00E7729E" w:rsidP="00E7729E">
      <w:pPr>
        <w:rPr>
          <w:color w:val="000000" w:themeColor="text1"/>
        </w:rPr>
      </w:pPr>
      <w:r w:rsidRPr="00A10714">
        <w:rPr>
          <w:b/>
          <w:color w:val="000000" w:themeColor="text1"/>
        </w:rPr>
        <w:t>Targets</w:t>
      </w:r>
    </w:p>
    <w:tbl>
      <w:tblPr>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TARGETS"/>
      </w:tblPr>
      <w:tblGrid>
        <w:gridCol w:w="679"/>
        <w:gridCol w:w="1857"/>
        <w:gridCol w:w="1954"/>
        <w:gridCol w:w="2091"/>
        <w:gridCol w:w="2092"/>
      </w:tblGrid>
      <w:tr w:rsidR="000A0569" w:rsidRPr="00ED172B" w14:paraId="0453CCC2" w14:textId="77777777" w:rsidTr="00EC51AB">
        <w:trPr>
          <w:trHeight w:val="360"/>
        </w:trPr>
        <w:tc>
          <w:tcPr>
            <w:tcW w:w="333" w:type="pct"/>
            <w:tcBorders>
              <w:bottom w:val="single" w:sz="4" w:space="0" w:color="auto"/>
            </w:tcBorders>
            <w:shd w:val="clear" w:color="auto" w:fill="auto"/>
          </w:tcPr>
          <w:p w14:paraId="1A80DB10" w14:textId="77777777" w:rsidR="000A0569" w:rsidRPr="00ED172B" w:rsidRDefault="000A0569" w:rsidP="0082735C">
            <w:pPr>
              <w:jc w:val="center"/>
              <w:rPr>
                <w:b/>
                <w:color w:val="000000" w:themeColor="text1"/>
              </w:rPr>
            </w:pPr>
            <w:r w:rsidRPr="00ED172B">
              <w:rPr>
                <w:b/>
                <w:color w:val="000000" w:themeColor="text1"/>
              </w:rPr>
              <w:t>FFY</w:t>
            </w:r>
          </w:p>
        </w:tc>
        <w:tc>
          <w:tcPr>
            <w:tcW w:w="1085" w:type="pct"/>
          </w:tcPr>
          <w:p w14:paraId="44E988D2" w14:textId="7BD43327" w:rsidR="000A0569" w:rsidRPr="00ED172B" w:rsidRDefault="000A0569" w:rsidP="0082735C">
            <w:pPr>
              <w:jc w:val="center"/>
              <w:rPr>
                <w:b/>
                <w:color w:val="000000" w:themeColor="text1"/>
              </w:rPr>
            </w:pPr>
            <w:r w:rsidRPr="00B67020">
              <w:rPr>
                <w:b/>
                <w:color w:val="000000" w:themeColor="text1"/>
              </w:rPr>
              <w:t>Current Relationship</w:t>
            </w:r>
          </w:p>
        </w:tc>
        <w:tc>
          <w:tcPr>
            <w:tcW w:w="1141" w:type="pct"/>
            <w:shd w:val="clear" w:color="auto" w:fill="auto"/>
            <w:vAlign w:val="center"/>
          </w:tcPr>
          <w:p w14:paraId="5C60C210" w14:textId="397126C8" w:rsidR="000A0569" w:rsidRPr="00ED172B" w:rsidRDefault="000A0569" w:rsidP="0082735C">
            <w:pPr>
              <w:jc w:val="center"/>
              <w:rPr>
                <w:b/>
                <w:color w:val="000000" w:themeColor="text1"/>
              </w:rPr>
            </w:pPr>
            <w:r w:rsidRPr="00ED172B">
              <w:rPr>
                <w:b/>
                <w:color w:val="000000" w:themeColor="text1"/>
              </w:rPr>
              <w:t>2023</w:t>
            </w:r>
          </w:p>
        </w:tc>
        <w:tc>
          <w:tcPr>
            <w:tcW w:w="1220" w:type="pct"/>
          </w:tcPr>
          <w:p w14:paraId="0701C412" w14:textId="77777777" w:rsidR="000A0569" w:rsidRPr="00ED172B" w:rsidRDefault="000A0569" w:rsidP="0082735C">
            <w:pPr>
              <w:jc w:val="center"/>
              <w:rPr>
                <w:b/>
                <w:color w:val="000000" w:themeColor="text1"/>
              </w:rPr>
            </w:pPr>
            <w:r>
              <w:rPr>
                <w:rFonts w:cs="Arial"/>
                <w:b/>
                <w:color w:val="000000" w:themeColor="text1"/>
                <w:szCs w:val="16"/>
              </w:rPr>
              <w:t>2024</w:t>
            </w:r>
          </w:p>
        </w:tc>
        <w:tc>
          <w:tcPr>
            <w:tcW w:w="1220" w:type="pct"/>
          </w:tcPr>
          <w:p w14:paraId="69CB9B5C" w14:textId="77777777" w:rsidR="000A0569" w:rsidRPr="00ED172B" w:rsidRDefault="000A0569" w:rsidP="0082735C">
            <w:pPr>
              <w:jc w:val="center"/>
              <w:rPr>
                <w:b/>
                <w:color w:val="000000" w:themeColor="text1"/>
              </w:rPr>
            </w:pPr>
            <w:r w:rsidRPr="005A1B4F">
              <w:rPr>
                <w:rFonts w:cs="Arial"/>
                <w:b/>
                <w:color w:val="000000" w:themeColor="text1"/>
                <w:szCs w:val="16"/>
              </w:rPr>
              <w:t>2025</w:t>
            </w:r>
          </w:p>
        </w:tc>
      </w:tr>
      <w:tr w:rsidR="000A0569" w:rsidRPr="00ED172B" w14:paraId="02BF8447" w14:textId="77777777" w:rsidTr="00EC51AB">
        <w:trPr>
          <w:trHeight w:val="367"/>
        </w:trPr>
        <w:tc>
          <w:tcPr>
            <w:tcW w:w="333" w:type="pct"/>
            <w:shd w:val="clear" w:color="auto" w:fill="auto"/>
          </w:tcPr>
          <w:p w14:paraId="1DE2EEC4" w14:textId="0B1A6EEF" w:rsidR="000A0569" w:rsidRPr="00ED172B" w:rsidRDefault="000A0569" w:rsidP="00D21F29">
            <w:pPr>
              <w:jc w:val="center"/>
              <w:rPr>
                <w:rFonts w:cs="Arial"/>
                <w:color w:val="000000" w:themeColor="text1"/>
                <w:szCs w:val="16"/>
              </w:rPr>
            </w:pPr>
            <w:r w:rsidRPr="00ED172B">
              <w:rPr>
                <w:rFonts w:cs="Arial"/>
                <w:color w:val="000000" w:themeColor="text1"/>
                <w:szCs w:val="16"/>
              </w:rPr>
              <w:t>Target</w:t>
            </w:r>
          </w:p>
        </w:tc>
        <w:tc>
          <w:tcPr>
            <w:tcW w:w="1085" w:type="pct"/>
          </w:tcPr>
          <w:p w14:paraId="09BF8550" w14:textId="1015C7F4" w:rsidR="000A0569" w:rsidRPr="00ED172B" w:rsidRDefault="000A0569" w:rsidP="0082735C">
            <w:pPr>
              <w:jc w:val="center"/>
              <w:rPr>
                <w:color w:val="000000" w:themeColor="text1"/>
              </w:rPr>
            </w:pPr>
            <w:r w:rsidRPr="00B67020">
              <w:rPr>
                <w:color w:val="000000" w:themeColor="text1"/>
              </w:rPr>
              <w:t>Data must be greater than or equal to the target</w:t>
            </w:r>
          </w:p>
        </w:tc>
        <w:tc>
          <w:tcPr>
            <w:tcW w:w="1141" w:type="pct"/>
            <w:shd w:val="clear" w:color="auto" w:fill="auto"/>
            <w:vAlign w:val="center"/>
          </w:tcPr>
          <w:p w14:paraId="25EEA933" w14:textId="4E32B110" w:rsidR="000A0569" w:rsidRPr="00ED172B" w:rsidRDefault="000A0569" w:rsidP="0082735C">
            <w:pPr>
              <w:jc w:val="center"/>
              <w:rPr>
                <w:color w:val="000000" w:themeColor="text1"/>
              </w:rPr>
            </w:pPr>
            <w:r w:rsidRPr="00ED172B">
              <w:rPr>
                <w:color w:val="000000" w:themeColor="text1"/>
              </w:rPr>
              <w:t>55.00%</w:t>
            </w:r>
          </w:p>
        </w:tc>
        <w:tc>
          <w:tcPr>
            <w:tcW w:w="1220" w:type="pct"/>
          </w:tcPr>
          <w:p w14:paraId="4FDDD4C1" w14:textId="5C51D581" w:rsidR="000A0569" w:rsidRPr="00ED172B" w:rsidRDefault="000A0569" w:rsidP="0082735C">
            <w:pPr>
              <w:jc w:val="center"/>
              <w:rPr>
                <w:color w:val="000000" w:themeColor="text1"/>
              </w:rPr>
            </w:pPr>
            <w:r>
              <w:rPr>
                <w:rFonts w:cs="Arial"/>
                <w:color w:val="000000" w:themeColor="text1"/>
                <w:szCs w:val="16"/>
              </w:rPr>
              <w:t>55.00%</w:t>
            </w:r>
          </w:p>
        </w:tc>
        <w:tc>
          <w:tcPr>
            <w:tcW w:w="1220" w:type="pct"/>
          </w:tcPr>
          <w:p w14:paraId="0C37D80B" w14:textId="12806C46" w:rsidR="000A0569" w:rsidRPr="00ED172B" w:rsidRDefault="000A0569" w:rsidP="0082735C">
            <w:pPr>
              <w:jc w:val="center"/>
              <w:rPr>
                <w:color w:val="000000" w:themeColor="text1"/>
              </w:rPr>
            </w:pPr>
            <w:r w:rsidRPr="005F5F3C">
              <w:rPr>
                <w:rFonts w:cs="Arial"/>
                <w:color w:val="000000" w:themeColor="text1"/>
                <w:szCs w:val="16"/>
              </w:rPr>
              <w:t>55.00%</w:t>
            </w:r>
          </w:p>
        </w:tc>
      </w:tr>
    </w:tbl>
    <w:p w14:paraId="7BA6F57E" w14:textId="77777777" w:rsidR="008C5AD3" w:rsidRPr="00ED172B" w:rsidRDefault="008C5AD3" w:rsidP="008C5AD3">
      <w:pPr>
        <w:pStyle w:val="Italic"/>
        <w:rPr>
          <w:rFonts w:cs="Arial"/>
          <w:i w:val="0"/>
          <w:color w:val="000000" w:themeColor="text1"/>
          <w:szCs w:val="16"/>
        </w:rPr>
      </w:pPr>
    </w:p>
    <w:p w14:paraId="3FAB99C9" w14:textId="76D822C9" w:rsidR="005A3EDC" w:rsidRPr="00ED172B" w:rsidRDefault="005A3EDC" w:rsidP="005A3EDC">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005A3EDC" w:rsidRPr="00ED172B" w14:paraId="6E048B6B" w14:textId="77777777" w:rsidTr="009C4033">
        <w:trPr>
          <w:trHeight w:val="354"/>
        </w:trPr>
        <w:tc>
          <w:tcPr>
            <w:tcW w:w="1165" w:type="pct"/>
            <w:shd w:val="clear" w:color="auto" w:fill="auto"/>
            <w:vAlign w:val="bottom"/>
          </w:tcPr>
          <w:p w14:paraId="35377E80" w14:textId="2AF6D1B5" w:rsidR="005A3EDC" w:rsidRPr="00ED172B" w:rsidRDefault="005E3DB9" w:rsidP="0082735C">
            <w:pPr>
              <w:jc w:val="center"/>
              <w:rPr>
                <w:b/>
                <w:color w:val="000000" w:themeColor="text1"/>
                <w:szCs w:val="16"/>
              </w:rPr>
            </w:pPr>
            <w:r w:rsidRPr="00ED172B">
              <w:rPr>
                <w:color w:val="000000" w:themeColor="text1"/>
                <w:szCs w:val="16"/>
              </w:rPr>
              <w:t>Numerator=sum of results of progress categories d + e for all children with entry and exit scores from Indicator 3</w:t>
            </w:r>
          </w:p>
        </w:tc>
        <w:tc>
          <w:tcPr>
            <w:tcW w:w="876" w:type="pct"/>
            <w:shd w:val="clear" w:color="auto" w:fill="auto"/>
            <w:vAlign w:val="bottom"/>
          </w:tcPr>
          <w:p w14:paraId="2CFCBD1B" w14:textId="129F1692" w:rsidR="005A3EDC" w:rsidRPr="00ED172B" w:rsidRDefault="005E3DB9" w:rsidP="0082735C">
            <w:pPr>
              <w:jc w:val="center"/>
              <w:rPr>
                <w:b/>
                <w:color w:val="000000" w:themeColor="text1"/>
                <w:szCs w:val="16"/>
              </w:rPr>
            </w:pPr>
            <w:r w:rsidRPr="00ED172B">
              <w:rPr>
                <w:color w:val="000000" w:themeColor="text1"/>
                <w:szCs w:val="16"/>
              </w:rPr>
              <w:t>Denominator= sum of total possible of all available child results for all progress categories for all children with entry and exit scores from Indicator 3</w:t>
            </w:r>
          </w:p>
        </w:tc>
        <w:tc>
          <w:tcPr>
            <w:tcW w:w="667" w:type="pct"/>
            <w:shd w:val="clear" w:color="auto" w:fill="auto"/>
            <w:vAlign w:val="bottom"/>
          </w:tcPr>
          <w:p w14:paraId="76EF8F05" w14:textId="5CBB64B1" w:rsidR="005A3EDC" w:rsidRPr="00ED172B" w:rsidRDefault="005A3EDC" w:rsidP="0082735C">
            <w:pPr>
              <w:jc w:val="center"/>
              <w:rPr>
                <w:b/>
                <w:color w:val="000000" w:themeColor="text1"/>
                <w:szCs w:val="16"/>
              </w:rPr>
            </w:pPr>
            <w:r>
              <w:rPr>
                <w:rFonts w:cs="Arial"/>
                <w:b/>
                <w:color w:val="000000" w:themeColor="text1"/>
                <w:szCs w:val="16"/>
              </w:rPr>
              <w:t>FFY 2022 Data</w:t>
            </w:r>
          </w:p>
        </w:tc>
        <w:tc>
          <w:tcPr>
            <w:tcW w:w="626" w:type="pct"/>
            <w:shd w:val="clear" w:color="auto" w:fill="auto"/>
            <w:vAlign w:val="bottom"/>
          </w:tcPr>
          <w:p w14:paraId="5F4EA754" w14:textId="1C12B4E4" w:rsidR="005A3EDC" w:rsidRPr="00ED172B" w:rsidRDefault="005A3EDC" w:rsidP="0082735C">
            <w:pPr>
              <w:jc w:val="center"/>
              <w:rPr>
                <w:b/>
                <w:color w:val="000000" w:themeColor="text1"/>
                <w:szCs w:val="16"/>
              </w:rPr>
            </w:pPr>
            <w:r>
              <w:rPr>
                <w:rFonts w:cs="Arial"/>
                <w:b/>
                <w:color w:val="000000" w:themeColor="text1"/>
                <w:szCs w:val="16"/>
              </w:rPr>
              <w:t>FFY 2023 Target</w:t>
            </w:r>
          </w:p>
        </w:tc>
        <w:tc>
          <w:tcPr>
            <w:tcW w:w="584" w:type="pct"/>
            <w:shd w:val="clear" w:color="auto" w:fill="auto"/>
            <w:vAlign w:val="bottom"/>
          </w:tcPr>
          <w:p w14:paraId="67762CBC" w14:textId="14B25976" w:rsidR="005A3EDC" w:rsidRPr="00ED172B" w:rsidRDefault="005A3EDC" w:rsidP="0082735C">
            <w:pPr>
              <w:jc w:val="center"/>
              <w:rPr>
                <w:b/>
                <w:color w:val="000000" w:themeColor="text1"/>
                <w:szCs w:val="16"/>
              </w:rPr>
            </w:pPr>
            <w:r>
              <w:rPr>
                <w:rFonts w:cs="Arial"/>
                <w:b/>
                <w:color w:val="000000" w:themeColor="text1"/>
                <w:szCs w:val="16"/>
              </w:rPr>
              <w:t>FFY 2023 Data</w:t>
            </w:r>
          </w:p>
        </w:tc>
        <w:tc>
          <w:tcPr>
            <w:tcW w:w="584" w:type="pct"/>
            <w:shd w:val="clear" w:color="auto" w:fill="auto"/>
            <w:vAlign w:val="bottom"/>
          </w:tcPr>
          <w:p w14:paraId="3B9F25BA" w14:textId="77777777" w:rsidR="005A3EDC" w:rsidRPr="00ED172B" w:rsidRDefault="005A3EDC" w:rsidP="0082735C">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63772CF4" w14:textId="77777777" w:rsidR="005A3EDC" w:rsidRPr="00ED172B" w:rsidRDefault="005A3EDC" w:rsidP="0082735C">
            <w:pPr>
              <w:jc w:val="center"/>
              <w:rPr>
                <w:b/>
                <w:color w:val="000000" w:themeColor="text1"/>
                <w:szCs w:val="16"/>
              </w:rPr>
            </w:pPr>
            <w:r w:rsidRPr="00ED172B">
              <w:rPr>
                <w:b/>
                <w:color w:val="000000" w:themeColor="text1"/>
                <w:szCs w:val="16"/>
              </w:rPr>
              <w:t>Slippage</w:t>
            </w:r>
          </w:p>
        </w:tc>
      </w:tr>
      <w:tr w:rsidR="005A3EDC" w:rsidRPr="00ED172B" w14:paraId="6DBCB096" w14:textId="77777777" w:rsidTr="009C4033">
        <w:trPr>
          <w:trHeight w:val="287"/>
        </w:trPr>
        <w:tc>
          <w:tcPr>
            <w:tcW w:w="1165" w:type="pct"/>
            <w:shd w:val="clear" w:color="auto" w:fill="auto"/>
            <w:vAlign w:val="center"/>
          </w:tcPr>
          <w:p w14:paraId="3F656E99" w14:textId="27CC2589" w:rsidR="005A3EDC" w:rsidRPr="00ED172B" w:rsidRDefault="005A3EDC" w:rsidP="0082735C">
            <w:pPr>
              <w:jc w:val="center"/>
              <w:rPr>
                <w:color w:val="000000" w:themeColor="text1"/>
                <w:szCs w:val="16"/>
              </w:rPr>
            </w:pPr>
            <w:r w:rsidRPr="00ED172B">
              <w:rPr>
                <w:color w:val="000000" w:themeColor="text1"/>
                <w:szCs w:val="16"/>
              </w:rPr>
              <w:t>4,149</w:t>
            </w:r>
          </w:p>
        </w:tc>
        <w:tc>
          <w:tcPr>
            <w:tcW w:w="876" w:type="pct"/>
            <w:shd w:val="clear" w:color="auto" w:fill="auto"/>
            <w:vAlign w:val="center"/>
          </w:tcPr>
          <w:p w14:paraId="3150BE9F" w14:textId="5DC8C558" w:rsidR="005A3EDC" w:rsidRPr="00ED172B" w:rsidRDefault="005A3EDC" w:rsidP="0082735C">
            <w:pPr>
              <w:jc w:val="center"/>
              <w:rPr>
                <w:color w:val="000000" w:themeColor="text1"/>
                <w:szCs w:val="16"/>
              </w:rPr>
            </w:pPr>
            <w:r w:rsidRPr="00ED172B">
              <w:rPr>
                <w:color w:val="000000" w:themeColor="text1"/>
                <w:szCs w:val="16"/>
              </w:rPr>
              <w:t>8,805</w:t>
            </w:r>
          </w:p>
        </w:tc>
        <w:tc>
          <w:tcPr>
            <w:tcW w:w="667" w:type="pct"/>
            <w:shd w:val="clear" w:color="auto" w:fill="auto"/>
          </w:tcPr>
          <w:p w14:paraId="01ADA7D7" w14:textId="7A44C784" w:rsidR="005A3EDC" w:rsidRPr="00ED172B" w:rsidRDefault="005A3EDC" w:rsidP="0082735C">
            <w:pPr>
              <w:jc w:val="center"/>
              <w:rPr>
                <w:color w:val="000000" w:themeColor="text1"/>
                <w:szCs w:val="16"/>
              </w:rPr>
            </w:pPr>
            <w:r w:rsidRPr="00ED172B">
              <w:rPr>
                <w:rFonts w:cs="Arial"/>
                <w:color w:val="000000" w:themeColor="text1"/>
                <w:szCs w:val="16"/>
              </w:rPr>
              <w:t>49.72%</w:t>
            </w:r>
          </w:p>
        </w:tc>
        <w:tc>
          <w:tcPr>
            <w:tcW w:w="626" w:type="pct"/>
            <w:shd w:val="clear" w:color="auto" w:fill="auto"/>
          </w:tcPr>
          <w:p w14:paraId="7E0CA0EB" w14:textId="2BC1966F" w:rsidR="005A3EDC" w:rsidRPr="00ED172B" w:rsidRDefault="005A3EDC" w:rsidP="0082735C">
            <w:pPr>
              <w:jc w:val="center"/>
              <w:rPr>
                <w:color w:val="000000" w:themeColor="text1"/>
                <w:szCs w:val="16"/>
              </w:rPr>
            </w:pPr>
            <w:r w:rsidRPr="00ED172B">
              <w:rPr>
                <w:color w:val="000000" w:themeColor="text1"/>
                <w:szCs w:val="16"/>
              </w:rPr>
              <w:t>55.00%</w:t>
            </w:r>
          </w:p>
        </w:tc>
        <w:tc>
          <w:tcPr>
            <w:tcW w:w="584" w:type="pct"/>
            <w:shd w:val="clear" w:color="auto" w:fill="auto"/>
          </w:tcPr>
          <w:p w14:paraId="458651F5" w14:textId="00EF1137" w:rsidR="005A3EDC" w:rsidRPr="00ED172B" w:rsidRDefault="005A3EDC" w:rsidP="0082735C">
            <w:pPr>
              <w:jc w:val="center"/>
              <w:rPr>
                <w:color w:val="000000" w:themeColor="text1"/>
                <w:szCs w:val="16"/>
              </w:rPr>
            </w:pPr>
            <w:r w:rsidRPr="00ED172B">
              <w:rPr>
                <w:rFonts w:cs="Arial"/>
                <w:color w:val="000000" w:themeColor="text1"/>
                <w:szCs w:val="16"/>
              </w:rPr>
              <w:t>47.12%</w:t>
            </w:r>
          </w:p>
        </w:tc>
        <w:tc>
          <w:tcPr>
            <w:tcW w:w="584" w:type="pct"/>
            <w:shd w:val="clear" w:color="auto" w:fill="auto"/>
          </w:tcPr>
          <w:p w14:paraId="4D02F4DA" w14:textId="5ECE8E78" w:rsidR="005A3EDC" w:rsidRPr="00ED172B" w:rsidRDefault="005A3EDC" w:rsidP="0082735C">
            <w:pPr>
              <w:jc w:val="center"/>
              <w:rPr>
                <w:color w:val="000000" w:themeColor="text1"/>
              </w:rPr>
            </w:pPr>
            <w:r w:rsidRPr="00ED172B">
              <w:rPr>
                <w:color w:val="000000" w:themeColor="text1"/>
              </w:rPr>
              <w:t>Did not meet target</w:t>
            </w:r>
          </w:p>
        </w:tc>
        <w:tc>
          <w:tcPr>
            <w:tcW w:w="498" w:type="pct"/>
            <w:shd w:val="clear" w:color="auto" w:fill="auto"/>
          </w:tcPr>
          <w:p w14:paraId="057828AA" w14:textId="1DB7167A" w:rsidR="005A3EDC" w:rsidRPr="00ED172B" w:rsidRDefault="005A3EDC" w:rsidP="0082735C">
            <w:pPr>
              <w:jc w:val="center"/>
              <w:rPr>
                <w:color w:val="000000" w:themeColor="text1"/>
              </w:rPr>
            </w:pPr>
            <w:r w:rsidRPr="00ED172B">
              <w:rPr>
                <w:color w:val="000000" w:themeColor="text1"/>
              </w:rPr>
              <w:t>Slippage</w:t>
            </w:r>
          </w:p>
        </w:tc>
      </w:tr>
    </w:tbl>
    <w:p w14:paraId="7F827FC2" w14:textId="62E40590" w:rsidR="005A3EDC" w:rsidRPr="00ED172B" w:rsidRDefault="005A3EDC" w:rsidP="005A3EDC">
      <w:pPr>
        <w:rPr>
          <w:rFonts w:cs="Arial"/>
          <w:b/>
          <w:i/>
          <w:color w:val="000000" w:themeColor="text1"/>
          <w:szCs w:val="16"/>
        </w:rPr>
      </w:pPr>
      <w:r w:rsidRPr="00ED172B">
        <w:rPr>
          <w:rFonts w:cs="Arial"/>
          <w:b/>
          <w:color w:val="000000" w:themeColor="text1"/>
          <w:szCs w:val="16"/>
        </w:rPr>
        <w:t>Provide reasons for slippage, if applicable</w:t>
      </w:r>
    </w:p>
    <w:p w14:paraId="4C6C3946" w14:textId="3260EF55" w:rsidR="005A3EDC" w:rsidRDefault="005A3EDC" w:rsidP="005A3EDC">
      <w:pPr>
        <w:rPr>
          <w:color w:val="000000" w:themeColor="text1"/>
        </w:rPr>
      </w:pPr>
      <w:r w:rsidRPr="00ED172B">
        <w:rPr>
          <w:color w:val="000000" w:themeColor="text1"/>
        </w:rPr>
        <w:t xml:space="preserve">Louisiana had slippage in meeting child outcomes. The pandemic continued to have an impact of the number of children making substantial process due to children beginning services later, therefore in the program for less time and some families remaining hesitant to resume in-person services. </w:t>
      </w:r>
    </w:p>
    <w:p w14:paraId="4F07CE97" w14:textId="2F5F51F8" w:rsidR="00693B33" w:rsidRDefault="00693B33" w:rsidP="00741E58"/>
    <w:p w14:paraId="7FBF3D2A" w14:textId="3187614F" w:rsidR="00305E79" w:rsidRDefault="00305E79" w:rsidP="00C14BC7">
      <w:pPr>
        <w:rPr>
          <w:b/>
          <w:bCs/>
        </w:rPr>
      </w:pPr>
      <w:r>
        <w:rPr>
          <w:b/>
          <w:bCs/>
        </w:rPr>
        <w:t>Provide the data source for the FFY 2023 data.</w:t>
      </w:r>
    </w:p>
    <w:p w14:paraId="39EA1EF2" w14:textId="4442F412" w:rsidR="00305E79" w:rsidRDefault="00305E79" w:rsidP="00305E79">
      <w:pPr>
        <w:rPr>
          <w:color w:val="000000" w:themeColor="text1"/>
        </w:rPr>
      </w:pPr>
      <w:r w:rsidRPr="00ED172B">
        <w:rPr>
          <w:color w:val="000000" w:themeColor="text1"/>
        </w:rPr>
        <w:t>Louisiana uses the Indicator 3 child outcome data for progress categories d and e across the 3 child outcome areas (positive social-emotional skills, acquisition and use of knowledge and skills, and use of appropriate behaviors to meet their needs.</w:t>
      </w:r>
    </w:p>
    <w:p w14:paraId="58E947E6" w14:textId="35C272EA" w:rsidR="00C14BC7" w:rsidRPr="00C14BC7" w:rsidRDefault="00C14BC7" w:rsidP="00C14BC7">
      <w:r w:rsidRPr="00F85A5B">
        <w:rPr>
          <w:b/>
          <w:bCs/>
        </w:rPr>
        <w:t>Please describe how data are collected and analyzed for the SiMR</w:t>
      </w:r>
      <w:r w:rsidRPr="00C14BC7">
        <w:t>.</w:t>
      </w:r>
    </w:p>
    <w:p w14:paraId="6315B3BF" w14:textId="4A2D6D59" w:rsidR="00C14BC7" w:rsidRDefault="00C14BC7" w:rsidP="00C14BC7">
      <w:pPr>
        <w:rPr>
          <w:color w:val="000000" w:themeColor="text1"/>
        </w:rPr>
      </w:pPr>
      <w:r w:rsidRPr="00ED172B">
        <w:rPr>
          <w:color w:val="000000" w:themeColor="text1"/>
        </w:rPr>
        <w:t>Louisiana did not meet its target for 2023 2024. The calculation process selected to report the C-11 SSIP Annual Performance Report (APR) data uses the results of the APR Indicator 3 progress categories d. and e. combined across the three outcome areas: positive social-emotional skills, acquisition and use of knowledge and skills, and use of appropriate behaviors to meet needs. Categories d. and e. represent children exiting at a level comparable to same-aged peers. The total of the combined d. and e. results across the three outcome areas comprises the numerator and the total possible for all available child results across the 3 outcome areas is the denominator. The result is expressed as a percentage. The results of this indicator, therefore are based on Indicator 3 progress category performance across the three outcome areas</w:t>
      </w:r>
    </w:p>
    <w:p w14:paraId="76D8647E" w14:textId="78CCE65B" w:rsidR="00270F92" w:rsidRDefault="00270F92" w:rsidP="00741E58"/>
    <w:p w14:paraId="3CC869D1" w14:textId="77777777" w:rsidR="00177098" w:rsidRDefault="006D5F86" w:rsidP="006D5F86">
      <w:pPr>
        <w:rPr>
          <w:rFonts w:cs="Arial"/>
          <w:b/>
          <w:bCs/>
        </w:rPr>
      </w:pPr>
      <w:bookmarkStart w:id="66" w:name="_Hlk109646926"/>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00CD071F" w:rsidRPr="00CD071F">
        <w:rPr>
          <w:b/>
          <w:bCs/>
        </w:rPr>
        <w:t>(yes/no)</w:t>
      </w:r>
    </w:p>
    <w:bookmarkEnd w:id="66"/>
    <w:p w14:paraId="6A765DFA" w14:textId="1921A02D" w:rsidR="00831891" w:rsidRPr="000123EB" w:rsidRDefault="00831891" w:rsidP="00831891">
      <w:pPr>
        <w:rPr>
          <w:color w:val="000000" w:themeColor="text1"/>
        </w:rPr>
      </w:pPr>
      <w:r w:rsidRPr="00ED172B">
        <w:rPr>
          <w:color w:val="000000" w:themeColor="text1"/>
        </w:rPr>
        <w:t>NO</w:t>
      </w:r>
    </w:p>
    <w:p w14:paraId="5AF54FE1" w14:textId="1D928FAB" w:rsidR="006F322B" w:rsidRDefault="006F322B" w:rsidP="00741E58">
      <w:pPr>
        <w:rPr>
          <w:b/>
          <w:bCs/>
        </w:rPr>
      </w:pPr>
    </w:p>
    <w:p w14:paraId="7345EC60" w14:textId="31ACD1AB" w:rsidR="00C77A39" w:rsidRDefault="00C77A39" w:rsidP="00C77A39">
      <w:pPr>
        <w:spacing w:after="0"/>
        <w:rPr>
          <w:rFonts w:cs="Arial"/>
          <w:b/>
          <w:bCs/>
        </w:rPr>
      </w:pPr>
      <w:bookmarkStart w:id="67" w:name="_Hlk109646937"/>
      <w:r w:rsidRPr="00F85A5B">
        <w:rPr>
          <w:rFonts w:cs="Arial"/>
          <w:b/>
          <w:bCs/>
        </w:rPr>
        <w:t xml:space="preserve">Did the State identify any general data quality concerns, unrelated to COVID-19, which affected progress toward the SiMR during the reporting period? </w:t>
      </w:r>
      <w:r w:rsidR="00CD071F" w:rsidRPr="00CD071F">
        <w:rPr>
          <w:b/>
          <w:bCs/>
        </w:rPr>
        <w:t>(yes/no)</w:t>
      </w:r>
    </w:p>
    <w:bookmarkEnd w:id="67"/>
    <w:p w14:paraId="0DD31B03" w14:textId="7D01B3CB" w:rsidR="005838E8" w:rsidRDefault="005838E8" w:rsidP="00C77A39">
      <w:pPr>
        <w:spacing w:after="0"/>
        <w:rPr>
          <w:rFonts w:cs="Arial"/>
          <w:b/>
          <w:bCs/>
        </w:rPr>
      </w:pPr>
      <w:r w:rsidRPr="00ED172B">
        <w:rPr>
          <w:color w:val="000000" w:themeColor="text1"/>
        </w:rPr>
        <w:t>NO</w:t>
      </w:r>
    </w:p>
    <w:p w14:paraId="2806BED7" w14:textId="77777777" w:rsidR="005838E8" w:rsidRDefault="005838E8" w:rsidP="00741E58">
      <w:pPr>
        <w:rPr>
          <w:b/>
          <w:bCs/>
        </w:rPr>
      </w:pPr>
    </w:p>
    <w:p w14:paraId="2F92DA5E" w14:textId="040E23FA" w:rsidR="00FC7972" w:rsidRDefault="00FC7972" w:rsidP="00741E58">
      <w:pPr>
        <w:rPr>
          <w:b/>
          <w:bCs/>
        </w:rPr>
      </w:pPr>
      <w:bookmarkStart w:id="68" w:name="_Hlk109646952"/>
      <w:r w:rsidRPr="00FC7972">
        <w:rPr>
          <w:b/>
          <w:bCs/>
        </w:rPr>
        <w:t>Did the State identify any data quality concerns directly related to the COVID-19 pandemic during the reporting period? (yes/no)</w:t>
      </w:r>
    </w:p>
    <w:bookmarkEnd w:id="68"/>
    <w:p w14:paraId="315EE8A6" w14:textId="43B354C8" w:rsidR="005838E8" w:rsidRDefault="005838E8" w:rsidP="00741E58">
      <w:pPr>
        <w:rPr>
          <w:b/>
          <w:bCs/>
        </w:rPr>
      </w:pPr>
      <w:r w:rsidRPr="00ED172B">
        <w:rPr>
          <w:color w:val="000000" w:themeColor="text1"/>
        </w:rPr>
        <w:t>NO</w:t>
      </w:r>
    </w:p>
    <w:p w14:paraId="763A4FBB" w14:textId="4A04ABFB" w:rsidR="005838E8" w:rsidRDefault="005838E8" w:rsidP="00741E58">
      <w:pPr>
        <w:rPr>
          <w:b/>
          <w:bCs/>
        </w:rPr>
      </w:pPr>
    </w:p>
    <w:p w14:paraId="27A9EDA7" w14:textId="77777777" w:rsidR="00562F31" w:rsidRPr="000315F0" w:rsidRDefault="00562F31" w:rsidP="00562F31">
      <w:pPr>
        <w:pStyle w:val="Subhed"/>
      </w:pPr>
      <w:r w:rsidRPr="000315F0">
        <w:t>Section B:</w:t>
      </w:r>
      <w:r>
        <w:t xml:space="preserve"> </w:t>
      </w:r>
      <w:r w:rsidRPr="000315F0">
        <w:t>Implementation, Analysis and Evaluation</w:t>
      </w:r>
    </w:p>
    <w:p w14:paraId="3DE8FFD0" w14:textId="77777777" w:rsidR="0041306A" w:rsidRDefault="0041306A" w:rsidP="0041306A">
      <w:pPr>
        <w:rPr>
          <w:rFonts w:cs="Arial"/>
          <w:b/>
          <w:bCs/>
        </w:rPr>
      </w:pPr>
      <w:r>
        <w:rPr>
          <w:rFonts w:cs="Arial"/>
          <w:b/>
          <w:bCs/>
        </w:rPr>
        <w:t>Please provide a link to the State’s current evaluation plan.</w:t>
      </w:r>
    </w:p>
    <w:p w14:paraId="2EAA92E6" w14:textId="1D331164" w:rsidR="0041306A" w:rsidRDefault="0041306A" w:rsidP="0041306A">
      <w:pPr>
        <w:rPr>
          <w:color w:val="000000" w:themeColor="text1"/>
        </w:rPr>
      </w:pPr>
      <w:r>
        <w:rPr>
          <w:color w:val="000000" w:themeColor="text1"/>
        </w:rPr>
        <w:t>https://ldh.la.gov/page/early-steps</w:t>
      </w:r>
    </w:p>
    <w:p w14:paraId="60D24E34" w14:textId="77777777" w:rsidR="0041306A" w:rsidRDefault="0041306A" w:rsidP="0041306A">
      <w:pPr>
        <w:rPr>
          <w:rFonts w:cs="Arial"/>
          <w:b/>
          <w:bCs/>
        </w:rPr>
      </w:pPr>
      <w:r>
        <w:rPr>
          <w:rFonts w:cs="Arial"/>
          <w:b/>
          <w:bCs/>
        </w:rPr>
        <w:t xml:space="preserve">Is the State’s evaluation plan new or revised since the previous submission? </w:t>
      </w:r>
      <w:r>
        <w:rPr>
          <w:b/>
          <w:bCs/>
        </w:rPr>
        <w:t>(yes/no)</w:t>
      </w:r>
    </w:p>
    <w:p w14:paraId="7F0F1A1F" w14:textId="4B2EF83A" w:rsidR="0041306A" w:rsidRDefault="0041306A" w:rsidP="0041306A">
      <w:pPr>
        <w:rPr>
          <w:color w:val="000000" w:themeColor="text1"/>
        </w:rPr>
      </w:pPr>
      <w:r>
        <w:rPr>
          <w:color w:val="000000" w:themeColor="text1"/>
        </w:rPr>
        <w:t>NO</w:t>
      </w:r>
    </w:p>
    <w:p w14:paraId="2D4D51DA" w14:textId="58145AD2" w:rsidR="00EE4E0F" w:rsidRDefault="00EE4E0F" w:rsidP="003B71AB">
      <w:pPr>
        <w:rPr>
          <w:rFonts w:cs="Arial"/>
          <w:b/>
          <w:bCs/>
        </w:rPr>
      </w:pPr>
    </w:p>
    <w:p w14:paraId="1FED1D02" w14:textId="77777777" w:rsidR="0041306A" w:rsidRDefault="0041306A" w:rsidP="003B71AB">
      <w:pPr>
        <w:rPr>
          <w:rFonts w:cs="Arial"/>
          <w:b/>
          <w:bCs/>
        </w:rPr>
      </w:pPr>
    </w:p>
    <w:p w14:paraId="051DAFDE" w14:textId="4F021F29" w:rsidR="003B71AB" w:rsidRPr="00E30972" w:rsidRDefault="00A85B6E" w:rsidP="003B71AB">
      <w:pPr>
        <w:rPr>
          <w:rFonts w:cs="Arial"/>
          <w:b/>
        </w:rPr>
      </w:pPr>
      <w:bookmarkStart w:id="69" w:name="_Hlk109647010"/>
      <w:r w:rsidRPr="008E5E4F">
        <w:rPr>
          <w:rFonts w:cs="Arial"/>
          <w:b/>
          <w:szCs w:val="16"/>
        </w:rPr>
        <w:t>Provide a summary of each infrastructure improvement strategy implemented in the reporting period.</w:t>
      </w:r>
    </w:p>
    <w:bookmarkEnd w:id="69"/>
    <w:p w14:paraId="25F98C7D" w14:textId="49E84F34" w:rsidR="00EE4E0F" w:rsidRPr="009A49C9" w:rsidRDefault="00EE4E0F" w:rsidP="00EE4E0F">
      <w:pPr>
        <w:rPr>
          <w:b/>
          <w:bCs/>
        </w:rPr>
      </w:pPr>
      <w:r w:rsidRPr="00ED172B">
        <w:rPr>
          <w:color w:val="000000" w:themeColor="text1"/>
        </w:rPr>
        <w:t xml:space="preserve">For this reporting period, the Part C Coordinator conducted an analysis of the State SSIP and SiMR. Improvement strategies will be reported in the next reporting period. </w:t>
      </w:r>
    </w:p>
    <w:p w14:paraId="49B94502" w14:textId="7B5BB3EC" w:rsidR="006237B0" w:rsidRDefault="006237B0" w:rsidP="003B71AB">
      <w:pPr>
        <w:rPr>
          <w:rFonts w:cs="Arial"/>
          <w:b/>
          <w:bCs/>
        </w:rPr>
      </w:pPr>
    </w:p>
    <w:p w14:paraId="60BDB0B8" w14:textId="7FA0C053" w:rsidR="006237B0" w:rsidRDefault="00A85B6E" w:rsidP="006237B0">
      <w:pPr>
        <w:rPr>
          <w:rFonts w:cs="Arial"/>
          <w:b/>
          <w:bCs/>
        </w:rPr>
      </w:pPr>
      <w:bookmarkStart w:id="70" w:name="_Hlk109647019"/>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w:t>
      </w:r>
    </w:p>
    <w:bookmarkEnd w:id="70"/>
    <w:p w14:paraId="6C845F06" w14:textId="7D9487AF" w:rsidR="000379F6" w:rsidRDefault="00717461" w:rsidP="006237B0">
      <w:pPr>
        <w:rPr>
          <w:rFonts w:cs="Arial"/>
          <w:b/>
          <w:bCs/>
        </w:rPr>
      </w:pPr>
      <w:r w:rsidRPr="00ED172B">
        <w:rPr>
          <w:color w:val="000000" w:themeColor="text1"/>
        </w:rPr>
        <w:t>EarlySteps has identified the need to enhance its policy and practices; provide ongoing training and technical assistance to providers, stakeholders; and families; and expand monitoring beyond compliance indicators.</w:t>
      </w:r>
    </w:p>
    <w:p w14:paraId="372876BC" w14:textId="75D5A78F" w:rsidR="009C2256" w:rsidRDefault="009C2256" w:rsidP="009C2256">
      <w:pPr>
        <w:rPr>
          <w:rFonts w:cs="Arial"/>
          <w:b/>
          <w:bCs/>
        </w:rPr>
      </w:pPr>
      <w:bookmarkStart w:id="71" w:name="_Hlk109647025"/>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00CD071F" w:rsidRPr="00CD071F">
        <w:rPr>
          <w:b/>
          <w:bCs/>
        </w:rPr>
        <w:t>(yes/no)</w:t>
      </w:r>
    </w:p>
    <w:bookmarkEnd w:id="71"/>
    <w:p w14:paraId="15FABCCC" w14:textId="764152CE" w:rsidR="000039B6" w:rsidRPr="000039B6" w:rsidRDefault="000039B6" w:rsidP="009C2256">
      <w:pPr>
        <w:rPr>
          <w:b/>
          <w:bCs/>
        </w:rPr>
      </w:pPr>
      <w:r w:rsidRPr="00ED172B">
        <w:rPr>
          <w:color w:val="000000" w:themeColor="text1"/>
        </w:rPr>
        <w:t>NO</w:t>
      </w:r>
    </w:p>
    <w:p w14:paraId="0B9E8F82" w14:textId="77777777" w:rsidR="00EB4B7B" w:rsidRPr="00EB4B7B" w:rsidRDefault="00EB4B7B" w:rsidP="00EB4B7B">
      <w:pPr>
        <w:rPr>
          <w:rFonts w:cs="Arial"/>
          <w:b/>
          <w:bCs/>
        </w:rPr>
      </w:pPr>
      <w:bookmarkStart w:id="72" w:name="_Hlk109647038"/>
      <w:r w:rsidRPr="00EB4B7B">
        <w:rPr>
          <w:rFonts w:cs="Arial"/>
          <w:b/>
          <w:bCs/>
        </w:rPr>
        <w:t xml:space="preserve">Provide a summary of the next steps for each infrastructure improvement strategy and the anticipated outcomes to be attained during the next reporting period. </w:t>
      </w:r>
    </w:p>
    <w:bookmarkEnd w:id="72"/>
    <w:p w14:paraId="2B44D59F" w14:textId="71C78214" w:rsidR="00370225" w:rsidRPr="005137B6" w:rsidRDefault="00370225" w:rsidP="00370225">
      <w:pPr>
        <w:rPr>
          <w:b/>
          <w:bCs/>
        </w:rPr>
      </w:pPr>
      <w:r w:rsidRPr="00ED172B">
        <w:rPr>
          <w:color w:val="000000" w:themeColor="text1"/>
        </w:rPr>
        <w:t>EarlySteps is undergoing infrastructural changes which will be reported in the next reporting period. Included in those changes is reassigning the existing Part C staff to Teams. By doing so, EarlySteps will have a Quality Assurances Team and a Provider Relations Team. The teams are created with existing Part C staff. The Quality Assurance (QA)Team will focus on improvements to EarlySteps Dispute Resolution policy and practice. The QA Team will established monitoring protocols for all aspects of IDEA Part C requirements, such as fiscal monitoring. The Provider Relations Team will primarily focus on recruitment and retention of providers; training and technical assistance. Part C Coordinator will be providing statewide training on Child Outcomes for Part C staff, providers, stakeholders, and families. Part of the training will include guidance on how to collect Child Outcomes data; including parents input; and providers observation.</w:t>
      </w:r>
    </w:p>
    <w:p w14:paraId="2CFA4DC1" w14:textId="503EEA2B" w:rsidR="009C2256" w:rsidRDefault="009C2256" w:rsidP="006237B0">
      <w:pPr>
        <w:rPr>
          <w:rFonts w:cs="Arial"/>
          <w:b/>
          <w:bCs/>
        </w:rPr>
      </w:pPr>
    </w:p>
    <w:p w14:paraId="283AD2CC" w14:textId="1DD9E2BE" w:rsidR="0072398B" w:rsidRDefault="0072398B" w:rsidP="0072398B">
      <w:pPr>
        <w:rPr>
          <w:rFonts w:cs="Arial"/>
          <w:b/>
          <w:bCs/>
        </w:rPr>
      </w:pPr>
      <w:bookmarkStart w:id="73" w:name="_Hlk109647044"/>
      <w:r w:rsidRPr="0072398B">
        <w:rPr>
          <w:rFonts w:cs="Arial"/>
          <w:b/>
          <w:bCs/>
        </w:rPr>
        <w:t>List the selected evidence-based practices implemented in the reporting period:</w:t>
      </w:r>
    </w:p>
    <w:bookmarkEnd w:id="73"/>
    <w:p w14:paraId="741AB6F5" w14:textId="3EC0E8B5" w:rsidR="00582D95" w:rsidRDefault="00582D95" w:rsidP="00582D95">
      <w:pPr>
        <w:rPr>
          <w:color w:val="000000" w:themeColor="text1"/>
        </w:rPr>
      </w:pPr>
      <w:r w:rsidRPr="00ED172B">
        <w:rPr>
          <w:color w:val="000000" w:themeColor="text1"/>
        </w:rPr>
        <w:t>For this reporting period, the Part C staff continued with the similar evidence-based practices as the previous reporting period. Those practices are:</w:t>
      </w:r>
      <w:r w:rsidRPr="00ED172B">
        <w:rPr>
          <w:color w:val="000000" w:themeColor="text1"/>
        </w:rPr>
        <w:br/>
        <w:t>• Family Assessment</w:t>
      </w:r>
      <w:r w:rsidRPr="00ED172B">
        <w:rPr>
          <w:color w:val="000000" w:themeColor="text1"/>
        </w:rPr>
        <w:br/>
        <w:t>• Service Delivery Supporting Family Priorities</w:t>
      </w:r>
      <w:r w:rsidRPr="00ED172B">
        <w:rPr>
          <w:color w:val="000000" w:themeColor="text1"/>
        </w:rPr>
        <w:br/>
        <w:t>• Evaluation and Assessment</w:t>
      </w:r>
    </w:p>
    <w:p w14:paraId="00FAC5EA" w14:textId="77777777" w:rsidR="00047DA0" w:rsidRPr="005137B6" w:rsidRDefault="00047DA0" w:rsidP="00582D95">
      <w:pPr>
        <w:rPr>
          <w:b/>
          <w:bCs/>
        </w:rPr>
      </w:pPr>
    </w:p>
    <w:p w14:paraId="79E6D61A" w14:textId="54FF2AF5" w:rsidR="002679EA" w:rsidRDefault="00AB24A4" w:rsidP="00AB24A4">
      <w:pPr>
        <w:rPr>
          <w:rFonts w:cs="Arial"/>
          <w:b/>
          <w:bCs/>
        </w:rPr>
      </w:pPr>
      <w:bookmarkStart w:id="74" w:name="_Hlk109647049"/>
      <w:r w:rsidRPr="00AB24A4">
        <w:rPr>
          <w:rFonts w:cs="Arial"/>
          <w:b/>
          <w:bCs/>
        </w:rPr>
        <w:t>Provide a summary of each evidence-based practice.</w:t>
      </w:r>
    </w:p>
    <w:bookmarkEnd w:id="74"/>
    <w:p w14:paraId="0AE8C012" w14:textId="0CF0516A" w:rsidR="002679EA" w:rsidRPr="005137B6" w:rsidRDefault="002679EA" w:rsidP="002679EA">
      <w:pPr>
        <w:rPr>
          <w:b/>
          <w:bCs/>
        </w:rPr>
      </w:pPr>
      <w:r w:rsidRPr="00ED172B">
        <w:rPr>
          <w:color w:val="000000" w:themeColor="text1"/>
        </w:rPr>
        <w:t>EarlySteps continued to use a family assessment; team support; and service delivery that support families' priorities.</w:t>
      </w:r>
    </w:p>
    <w:p w14:paraId="4B178C88" w14:textId="595701A4" w:rsidR="00AB24A4" w:rsidRPr="00AB24A4" w:rsidRDefault="00AB24A4" w:rsidP="00AB24A4">
      <w:pPr>
        <w:rPr>
          <w:rFonts w:cs="Arial"/>
          <w:b/>
          <w:bCs/>
        </w:rPr>
      </w:pPr>
      <w:r w:rsidRPr="00AB24A4">
        <w:rPr>
          <w:rFonts w:cs="Arial"/>
          <w:b/>
          <w:bCs/>
        </w:rPr>
        <w:t xml:space="preserve"> </w:t>
      </w:r>
    </w:p>
    <w:p w14:paraId="61132AC2" w14:textId="366CA00C" w:rsidR="00F05ED0" w:rsidRDefault="00B8661E" w:rsidP="00B8661E">
      <w:pPr>
        <w:rPr>
          <w:rFonts w:cs="Arial"/>
          <w:b/>
          <w:bCs/>
        </w:rPr>
      </w:pPr>
      <w:bookmarkStart w:id="75" w:name="_Hlk109647058"/>
      <w:r w:rsidRPr="00B8661E">
        <w:rPr>
          <w:rFonts w:cs="Arial"/>
          <w:b/>
          <w:bCs/>
        </w:rPr>
        <w:t xml:space="preserve">Provide a summary of how each evidence-based practices and activities or strategies that support its use, is intended to impact the SiMR by changing program/district policies, procedures, and/or practices, teacher/provider practices (e.g., behaviors), parent/caregiver outcomes, and/or child/outcomes. </w:t>
      </w:r>
    </w:p>
    <w:bookmarkEnd w:id="75"/>
    <w:p w14:paraId="2FC32005" w14:textId="20E8C2E6" w:rsidR="00F05ED0" w:rsidRPr="005137B6" w:rsidRDefault="00F05ED0" w:rsidP="00F05ED0">
      <w:pPr>
        <w:rPr>
          <w:b/>
          <w:bCs/>
        </w:rPr>
      </w:pPr>
      <w:r w:rsidRPr="00ED172B">
        <w:rPr>
          <w:color w:val="000000" w:themeColor="text1"/>
        </w:rPr>
        <w:lastRenderedPageBreak/>
        <w:t>Family Assessment:</w:t>
      </w:r>
      <w:r w:rsidRPr="00ED172B">
        <w:rPr>
          <w:color w:val="000000" w:themeColor="text1"/>
        </w:rPr>
        <w:br/>
        <w:t xml:space="preserve">Impacting the SiMR: Louisiana’s SiMR proposes that when early intervention supports address family concerns, priorities, and resources (CPRs) that child outcomes will improve. The Family Assessment practices are the process by which the CPRs are identified and prioritized for implementation of supports with children and families through the IFSP. Part of the PPM process is to identify what is in place to implement the practice and what is needed to ensure successful implementation with fidelity and includes updates or additions to policy, procedures or practices and may include revisions to forms, requirements for implementing fidelity measures, professional development, revisions to the family assessment tool and process and reporting results of implementation. Implementation of the state’s SiMR depends on correctly identifying family CPRs through the family assessment process. </w:t>
      </w:r>
      <w:r w:rsidRPr="00ED172B">
        <w:rPr>
          <w:color w:val="000000" w:themeColor="text1"/>
        </w:rPr>
        <w:br/>
      </w:r>
      <w:r w:rsidRPr="00ED172B">
        <w:rPr>
          <w:color w:val="000000" w:themeColor="text1"/>
        </w:rPr>
        <w:br/>
        <w:t>Team-based Practice Supports</w:t>
      </w:r>
      <w:r w:rsidRPr="00ED172B">
        <w:rPr>
          <w:color w:val="000000" w:themeColor="text1"/>
        </w:rPr>
        <w:br/>
        <w:t>Impacting the SiMR: Louisiana’s SiMR proposes that when early intervention supports are provided through a team-based approach that child outcomes will improve. The Team-based practices are the process by which service supports are provided to children and families and the “quality of the relationships and interactions among these adults affects the success of these programs” (DECRP, 2014). EarlySteps is using some components of team-base; but is not fulling implementing team-based in early intervention. There is joint discussions among the intake coordinator, evaluator, and the family about eligibility decision. The intake coordinator supports the family by sharing information for the family's decision of a provider, which is the Family Freedom of Choice of Providers. IFSP meeting includes the Service Coordinator, family, and providers.</w:t>
      </w:r>
      <w:r w:rsidRPr="00ED172B">
        <w:rPr>
          <w:color w:val="000000" w:themeColor="text1"/>
        </w:rPr>
        <w:br/>
      </w:r>
      <w:r w:rsidRPr="00ED172B">
        <w:rPr>
          <w:color w:val="000000" w:themeColor="text1"/>
        </w:rPr>
        <w:br/>
        <w:t>Service Delivery Supporting Family Priorities</w:t>
      </w:r>
      <w:r w:rsidRPr="00ED172B">
        <w:rPr>
          <w:color w:val="000000" w:themeColor="text1"/>
        </w:rPr>
        <w:br/>
        <w:t>Impacting the SiMR: Louisiana’s SiMR proposes that service delivery that supports family priorities will improve child outcomes. Family priorities must first be identified (family assessment) and practitioners must then address them through the team-designed IFSP service supports. The workgroup’s desired result is that child outcomes will improve if families are supported through early interventionists addressing IFSP outcomes using a coaching interaction style where both the child and family are actively engaged within their familiar everyday routines and activities. Anticipated implementation outcomes are:</w:t>
      </w:r>
      <w:r w:rsidRPr="00ED172B">
        <w:rPr>
          <w:color w:val="000000" w:themeColor="text1"/>
        </w:rPr>
        <w:br/>
        <w:t>• Practitioners will implement service delivery practices with fidelity based on family-identified priorities and informed decisions.</w:t>
      </w:r>
      <w:r w:rsidRPr="00ED172B">
        <w:rPr>
          <w:color w:val="000000" w:themeColor="text1"/>
        </w:rPr>
        <w:br/>
        <w:t>• Service delivery reflects team data-sharing to inform decisions about individualized supports to meet child and family needs.</w:t>
      </w:r>
      <w:r w:rsidRPr="00ED172B">
        <w:rPr>
          <w:color w:val="000000" w:themeColor="text1"/>
        </w:rPr>
        <w:br/>
        <w:t xml:space="preserve">• Practitioners embed instruction across family-identified routines, activities and environments to provide contextually relevant learning opportunities. </w:t>
      </w:r>
      <w:r w:rsidRPr="00ED172B">
        <w:rPr>
          <w:color w:val="000000" w:themeColor="text1"/>
        </w:rPr>
        <w:br/>
      </w:r>
      <w:r w:rsidRPr="00ED172B">
        <w:rPr>
          <w:color w:val="000000" w:themeColor="text1"/>
        </w:rPr>
        <w:br/>
        <w:t>Evaluation and Assessment</w:t>
      </w:r>
      <w:r w:rsidRPr="00ED172B">
        <w:rPr>
          <w:color w:val="000000" w:themeColor="text1"/>
        </w:rPr>
        <w:br/>
        <w:t xml:space="preserve">During this reporting period, Part C state team evaluated its current SiMR and have identified the need to make changes to how child outcomes data is collected and reported. </w:t>
      </w:r>
    </w:p>
    <w:p w14:paraId="7723C486" w14:textId="5F1FC69C" w:rsidR="00B8661E" w:rsidRPr="00B8661E" w:rsidRDefault="00B8661E" w:rsidP="00B8661E">
      <w:pPr>
        <w:rPr>
          <w:rFonts w:cs="Arial"/>
          <w:b/>
          <w:bCs/>
        </w:rPr>
      </w:pPr>
      <w:r w:rsidRPr="00B8661E">
        <w:rPr>
          <w:rFonts w:cs="Arial"/>
          <w:b/>
          <w:bCs/>
        </w:rPr>
        <w:t xml:space="preserve"> </w:t>
      </w:r>
    </w:p>
    <w:p w14:paraId="5B7E5005" w14:textId="3FBD6621" w:rsidR="00F008FE" w:rsidRDefault="00F008FE" w:rsidP="00F008FE">
      <w:pPr>
        <w:rPr>
          <w:rFonts w:cs="Arial"/>
          <w:b/>
          <w:bCs/>
        </w:rPr>
      </w:pPr>
      <w:bookmarkStart w:id="76" w:name="_Hlk109647063"/>
      <w:r w:rsidRPr="00F008FE">
        <w:rPr>
          <w:rFonts w:cs="Arial"/>
          <w:b/>
          <w:bCs/>
        </w:rPr>
        <w:t xml:space="preserve">Describe the data collected to monitor fidelity of implementation and to assess practice change. </w:t>
      </w:r>
    </w:p>
    <w:bookmarkEnd w:id="76"/>
    <w:p w14:paraId="6371547D" w14:textId="42F6C7DD" w:rsidR="0051509A" w:rsidRPr="005137B6" w:rsidRDefault="0051509A" w:rsidP="0051509A">
      <w:pPr>
        <w:rPr>
          <w:b/>
          <w:bCs/>
        </w:rPr>
      </w:pPr>
      <w:r w:rsidRPr="00ED172B">
        <w:rPr>
          <w:color w:val="000000" w:themeColor="text1"/>
        </w:rPr>
        <w:t>EarlySteps Part C Coordinator evaluated the process for monitoring fidelity and concluded that there were inconsistencies statewide on how  data was collection and reported. Data provided was not  valid.  No data is available for this reporting period.</w:t>
      </w:r>
    </w:p>
    <w:p w14:paraId="6003DDF2" w14:textId="77777777" w:rsidR="0051509A" w:rsidRPr="00F008FE" w:rsidRDefault="0051509A" w:rsidP="00F008FE">
      <w:pPr>
        <w:rPr>
          <w:rFonts w:cs="Arial"/>
          <w:b/>
          <w:bCs/>
        </w:rPr>
      </w:pPr>
    </w:p>
    <w:p w14:paraId="44008222" w14:textId="31268970" w:rsidR="00F255D2" w:rsidRPr="006A6410" w:rsidRDefault="006A6410" w:rsidP="00F255D2">
      <w:pPr>
        <w:rPr>
          <w:rFonts w:cs="Arial"/>
          <w:b/>
          <w:bCs/>
        </w:rPr>
      </w:pPr>
      <w:bookmarkStart w:id="77" w:name="_Hlk109647068"/>
      <w:r w:rsidRPr="00E30972">
        <w:rPr>
          <w:rFonts w:cs="Arial"/>
          <w:b/>
          <w:bCs/>
        </w:rPr>
        <w:t xml:space="preserve">Describe any additional data (e.g., progress monitoring) that was collected that supports the decision to continue the ongoing use of each evidence-based practice. </w:t>
      </w:r>
    </w:p>
    <w:bookmarkEnd w:id="77"/>
    <w:p w14:paraId="007AE64F" w14:textId="127A4D0F" w:rsidR="00107600" w:rsidRPr="005137B6" w:rsidRDefault="00107600" w:rsidP="00107600">
      <w:pPr>
        <w:rPr>
          <w:b/>
          <w:bCs/>
        </w:rPr>
      </w:pPr>
      <w:r w:rsidRPr="00ED172B">
        <w:rPr>
          <w:color w:val="000000" w:themeColor="text1"/>
        </w:rPr>
        <w:t>No additional data collected to report.</w:t>
      </w:r>
    </w:p>
    <w:p w14:paraId="72F94657" w14:textId="77777777" w:rsidR="00107600" w:rsidRDefault="00107600" w:rsidP="00F255D2">
      <w:pPr>
        <w:rPr>
          <w:rFonts w:cs="Arial"/>
          <w:b/>
          <w:bCs/>
        </w:rPr>
      </w:pPr>
    </w:p>
    <w:p w14:paraId="52E9D5CB" w14:textId="4DF448EA" w:rsidR="006A6410" w:rsidRDefault="006A6410" w:rsidP="00064BA4">
      <w:pPr>
        <w:rPr>
          <w:rFonts w:cs="Arial"/>
          <w:b/>
          <w:bCs/>
        </w:rPr>
      </w:pPr>
      <w:bookmarkStart w:id="78" w:name="_Hlk109647074"/>
      <w:r w:rsidRPr="006A6410">
        <w:rPr>
          <w:rFonts w:cs="Arial"/>
          <w:b/>
          <w:bCs/>
        </w:rPr>
        <w:t xml:space="preserve">Provide a summary of the next steps for each evidence-based practice and the anticipated outcomes to be attained during the next reporting period. </w:t>
      </w:r>
    </w:p>
    <w:bookmarkEnd w:id="78"/>
    <w:p w14:paraId="5FC33224" w14:textId="66099ED0" w:rsidR="00026ADD" w:rsidRPr="005137B6" w:rsidRDefault="00026ADD" w:rsidP="00026ADD">
      <w:pPr>
        <w:rPr>
          <w:b/>
          <w:bCs/>
        </w:rPr>
      </w:pPr>
      <w:r w:rsidRPr="00ED172B">
        <w:rPr>
          <w:color w:val="000000" w:themeColor="text1"/>
        </w:rPr>
        <w:t xml:space="preserve">Louisiana will reconvene with its stakeholders to revised its identified evidence-based practice.  </w:t>
      </w:r>
      <w:r w:rsidRPr="00ED172B">
        <w:rPr>
          <w:color w:val="000000" w:themeColor="text1"/>
        </w:rPr>
        <w:br/>
      </w:r>
      <w:r w:rsidRPr="00ED172B">
        <w:rPr>
          <w:color w:val="000000" w:themeColor="text1"/>
        </w:rPr>
        <w:br/>
        <w:t>Louisiana Part C will continue to focus on child outcomes. Training will be provided on child outcomes. Child outcomes data will be collected using various ways.  For this reporting period, child outcomes data is only collected using the BDI-2 scores. For the next reporting period, child outcomes data will be collected by using parent input; assessment; and provider observation. Child outcome summary will be completed by the IFSP team, family and providers. The IFSP team will use the decision tree when determining the rating for the three areas of the child outcomes. Data will be recorded in the Child Outcomes Summary section in the states database.</w:t>
      </w:r>
    </w:p>
    <w:p w14:paraId="20BF17A9" w14:textId="77777777" w:rsidR="00026ADD" w:rsidRDefault="00026ADD" w:rsidP="00064BA4">
      <w:pPr>
        <w:rPr>
          <w:rFonts w:cs="Arial"/>
          <w:b/>
          <w:bCs/>
        </w:rPr>
      </w:pPr>
      <w:bookmarkStart w:id="79" w:name="_Hlk109647080"/>
    </w:p>
    <w:bookmarkEnd w:id="79"/>
    <w:p w14:paraId="0218F587" w14:textId="77777777" w:rsidR="00253D4F" w:rsidRPr="006A3544" w:rsidRDefault="00253D4F" w:rsidP="00253D4F">
      <w:pPr>
        <w:rPr>
          <w:b/>
          <w:bCs/>
          <w:szCs w:val="16"/>
        </w:rPr>
      </w:pPr>
      <w:r w:rsidRPr="006A3544">
        <w:rPr>
          <w:b/>
          <w:bCs/>
          <w:szCs w:val="16"/>
        </w:rPr>
        <w:t xml:space="preserve">Does the State intend to continue implementing the SSIP without modifications? </w:t>
      </w:r>
      <w:r w:rsidRPr="006A3544">
        <w:rPr>
          <w:rFonts w:cs="Arial"/>
          <w:b/>
          <w:bCs/>
        </w:rPr>
        <w:t>(yes/no)</w:t>
      </w:r>
    </w:p>
    <w:p w14:paraId="01CB62A6" w14:textId="77248C90" w:rsidR="00540BB9" w:rsidRDefault="00540BB9" w:rsidP="00253D4F">
      <w:r w:rsidRPr="00781112">
        <w:t>NO</w:t>
      </w:r>
    </w:p>
    <w:p w14:paraId="3446D120" w14:textId="16C795D2" w:rsidR="00253D4F" w:rsidRPr="006A3544" w:rsidRDefault="00253D4F" w:rsidP="00253D4F">
      <w:pPr>
        <w:rPr>
          <w:b/>
          <w:bCs/>
          <w:szCs w:val="16"/>
        </w:rPr>
      </w:pPr>
      <w:r w:rsidRPr="006A3544">
        <w:rPr>
          <w:b/>
          <w:bCs/>
          <w:szCs w:val="16"/>
        </w:rPr>
        <w:t xml:space="preserve">If no, describe any changes to the activities, strategies or timelines described in the previous submission and include a rationale or justification for the changes. </w:t>
      </w:r>
    </w:p>
    <w:p w14:paraId="6F250BE3" w14:textId="37BCA0C5" w:rsidR="00540BB9" w:rsidRDefault="00540BB9" w:rsidP="00540BB9">
      <w:r w:rsidRPr="00781112">
        <w:t xml:space="preserve">EarlySteps had a change of Part C Coordinator. The previous Part C Coordinator retired last year and a new Part C Coordinator was hired. The new Part C Coordinator reviewed previous SPP/APR, including the SSIP and SiMR. As a result of this review, the Part C Coordinator acknowledged the need to make changes to the SSIP. The SSIP targets were identified in 2020. Baseline data for the SiMR were determined in 2013.  There are some activities stated in the SSIP that are partially implemented or not implemented. LA Part C will provided a revised SSIP for next fiscal year’s reporting. </w:t>
      </w:r>
      <w:r w:rsidRPr="00781112">
        <w:br/>
        <w:t>Strategies for revising the SSIP shall include activities, such as:</w:t>
      </w:r>
      <w:r w:rsidRPr="00781112">
        <w:br/>
        <w:t>• Meeting with the SICC;</w:t>
      </w:r>
      <w:r w:rsidRPr="00781112">
        <w:br/>
        <w:t>• Holding a stakeholders meetings to discuss the current SSIP; targets setting; and identifying areas to revise;</w:t>
      </w:r>
      <w:r w:rsidRPr="00781112">
        <w:br/>
        <w:t>• Reviewing SSIP activities, identifying which activities to continue; revise; or end; and</w:t>
      </w:r>
      <w:r w:rsidRPr="00781112">
        <w:br/>
        <w:t>• Input from LDH; OCDD; and EarlySteps State Team</w:t>
      </w:r>
    </w:p>
    <w:p w14:paraId="38B47A1D" w14:textId="7EBD8053" w:rsidR="00436802" w:rsidRDefault="00436802" w:rsidP="00F255D2">
      <w:pPr>
        <w:rPr>
          <w:color w:val="000000" w:themeColor="text1"/>
        </w:rPr>
      </w:pPr>
    </w:p>
    <w:p w14:paraId="46F0EF88" w14:textId="77777777" w:rsidR="00436802" w:rsidRPr="00B50A83" w:rsidRDefault="00436802" w:rsidP="00F255D2">
      <w:pPr>
        <w:rPr>
          <w:b/>
          <w:bCs/>
        </w:rPr>
      </w:pPr>
    </w:p>
    <w:p w14:paraId="1C8F2A53" w14:textId="77777777" w:rsidR="00436802" w:rsidRDefault="000F3CCC" w:rsidP="000F3CCC">
      <w:pPr>
        <w:rPr>
          <w:rFonts w:cs="Arial"/>
          <w:b/>
          <w:bCs/>
        </w:rPr>
      </w:pPr>
      <w:r w:rsidRPr="000F3CCC">
        <w:rPr>
          <w:rFonts w:cs="Arial"/>
          <w:b/>
          <w:bCs/>
        </w:rPr>
        <w:t>Section C: Stakeholder Engagement</w:t>
      </w:r>
    </w:p>
    <w:p w14:paraId="3B57804E" w14:textId="4354CD0C" w:rsidR="00436802" w:rsidRDefault="00436802" w:rsidP="00436802">
      <w:pPr>
        <w:pStyle w:val="Bold"/>
        <w:rPr>
          <w:color w:val="000000" w:themeColor="text1"/>
        </w:rPr>
      </w:pPr>
      <w:r w:rsidRPr="00A10714">
        <w:rPr>
          <w:color w:val="000000" w:themeColor="text1"/>
        </w:rPr>
        <w:t>Description of Stakeholder Input</w:t>
      </w:r>
    </w:p>
    <w:p w14:paraId="10DD8D81" w14:textId="77777777" w:rsidR="00436802" w:rsidRPr="00ED172B" w:rsidRDefault="00436802" w:rsidP="00436802">
      <w:pPr>
        <w:pStyle w:val="Bold"/>
        <w:rPr>
          <w:b w:val="0"/>
          <w:color w:val="000000" w:themeColor="text1"/>
        </w:rPr>
      </w:pPr>
      <w:r w:rsidRPr="00ED172B">
        <w:rPr>
          <w:rFonts w:cs="Arial"/>
          <w:b w:val="0"/>
          <w:color w:val="000000" w:themeColor="text1"/>
          <w:szCs w:val="16"/>
        </w:rPr>
        <w:t>There were no stakeholders input for this reporting period.</w:t>
      </w:r>
    </w:p>
    <w:p w14:paraId="4CBCC65C" w14:textId="6D7AD6CB" w:rsidR="000F3CCC" w:rsidRPr="000F3CCC" w:rsidRDefault="000F3CCC" w:rsidP="000F3CCC">
      <w:pPr>
        <w:rPr>
          <w:rFonts w:cs="Arial"/>
          <w:b/>
          <w:bCs/>
        </w:rPr>
      </w:pPr>
      <w:r w:rsidRPr="000F3CCC">
        <w:rPr>
          <w:rFonts w:cs="Arial"/>
          <w:b/>
          <w:bCs/>
        </w:rPr>
        <w:t xml:space="preserve"> </w:t>
      </w:r>
    </w:p>
    <w:p w14:paraId="0112849A" w14:textId="77777777" w:rsidR="000F3CCC" w:rsidRPr="000F3CCC" w:rsidRDefault="000F3CCC" w:rsidP="000F3CCC">
      <w:pPr>
        <w:rPr>
          <w:rFonts w:cs="Arial"/>
          <w:b/>
          <w:bCs/>
        </w:rPr>
      </w:pPr>
      <w:bookmarkStart w:id="80" w:name="_Hlk109647088"/>
      <w:r w:rsidRPr="000F3CCC">
        <w:rPr>
          <w:rFonts w:cs="Arial"/>
          <w:b/>
          <w:bCs/>
        </w:rPr>
        <w:t xml:space="preserve">Describe the specific strategies implemented to engage stakeholders in key improvement efforts. </w:t>
      </w:r>
    </w:p>
    <w:bookmarkEnd w:id="80"/>
    <w:p w14:paraId="7A97D15A" w14:textId="346F07A8" w:rsidR="00D96943" w:rsidRPr="00B50A83" w:rsidRDefault="00D96943" w:rsidP="00D96943">
      <w:pPr>
        <w:rPr>
          <w:b/>
          <w:bCs/>
        </w:rPr>
      </w:pPr>
      <w:r w:rsidRPr="00ED172B">
        <w:rPr>
          <w:color w:val="000000" w:themeColor="text1"/>
        </w:rPr>
        <w:t xml:space="preserve">EarlySteps has implemented statewide quarterly meetings with providers. The meetings are an opportunity for providers to provide input on implementation of early intervention in Louisiana; potential changes to policy and practice; and recommendations for EarlySteps. The new SICC committees provide another way to solicit stakeholders input. </w:t>
      </w:r>
    </w:p>
    <w:p w14:paraId="4F13D059" w14:textId="77777777" w:rsidR="00476A20" w:rsidRDefault="00476A20" w:rsidP="00DA6A6C">
      <w:pPr>
        <w:rPr>
          <w:rFonts w:cs="Arial"/>
          <w:b/>
          <w:bCs/>
        </w:rPr>
      </w:pPr>
    </w:p>
    <w:p w14:paraId="7F1D30A2" w14:textId="49E86B13" w:rsidR="00476A20" w:rsidRDefault="00DA6A6C" w:rsidP="00DA6A6C">
      <w:pPr>
        <w:rPr>
          <w:rFonts w:cs="Arial"/>
          <w:b/>
          <w:bCs/>
        </w:rPr>
      </w:pPr>
      <w:bookmarkStart w:id="81" w:name="_Hlk109647094"/>
      <w:r w:rsidRPr="00DA6A6C">
        <w:rPr>
          <w:rFonts w:cs="Arial"/>
          <w:b/>
          <w:bCs/>
        </w:rPr>
        <w:t>Were there any concerns expressed by stakeholders during engagement activities?</w:t>
      </w:r>
      <w:r w:rsidR="00CD071F">
        <w:rPr>
          <w:b/>
          <w:bCs/>
        </w:rPr>
        <w:t xml:space="preserve"> </w:t>
      </w:r>
      <w:r w:rsidR="00CD071F" w:rsidRPr="00CD071F">
        <w:rPr>
          <w:b/>
          <w:bCs/>
        </w:rPr>
        <w:t>(yes/no)</w:t>
      </w:r>
    </w:p>
    <w:bookmarkEnd w:id="81"/>
    <w:p w14:paraId="6ABDC33E" w14:textId="3149C6FF" w:rsidR="00DA6A6C" w:rsidRPr="000420BE" w:rsidRDefault="000420BE" w:rsidP="00DA6A6C">
      <w:pPr>
        <w:rPr>
          <w:b/>
          <w:bCs/>
        </w:rPr>
      </w:pPr>
      <w:r w:rsidRPr="00ED172B">
        <w:rPr>
          <w:color w:val="000000" w:themeColor="text1"/>
        </w:rPr>
        <w:t>NO</w:t>
      </w:r>
    </w:p>
    <w:p w14:paraId="00BB8B73" w14:textId="77777777" w:rsidR="004A571B" w:rsidRPr="006237B0" w:rsidRDefault="004A571B" w:rsidP="006237B0">
      <w:pPr>
        <w:rPr>
          <w:rFonts w:cs="Arial"/>
          <w:b/>
          <w:bCs/>
        </w:rPr>
      </w:pPr>
    </w:p>
    <w:p w14:paraId="47232689" w14:textId="77777777" w:rsidR="004E393A" w:rsidRDefault="004E393A" w:rsidP="004E393A">
      <w:pPr>
        <w:rPr>
          <w:rFonts w:cstheme="minorHAnsi"/>
          <w:b/>
          <w:bCs/>
        </w:rPr>
      </w:pPr>
      <w:r w:rsidRPr="00DF62C9">
        <w:rPr>
          <w:rFonts w:cstheme="minorHAnsi"/>
          <w:b/>
          <w:bCs/>
        </w:rPr>
        <w:t>Additional Implementation Activities</w:t>
      </w:r>
    </w:p>
    <w:p w14:paraId="2A8A27BE" w14:textId="56086B53" w:rsidR="004E393A" w:rsidRDefault="004E393A" w:rsidP="004E393A">
      <w:pPr>
        <w:rPr>
          <w:b/>
          <w:bCs/>
        </w:rPr>
      </w:pPr>
      <w:bookmarkStart w:id="82" w:name="_Hlk109647117"/>
      <w:r w:rsidRPr="00F85A5B">
        <w:rPr>
          <w:b/>
          <w:bCs/>
        </w:rPr>
        <w:t>List any activities not already described that the State intends to implement in the next fiscal year that are related to the SiMR.</w:t>
      </w:r>
    </w:p>
    <w:bookmarkEnd w:id="82"/>
    <w:p w14:paraId="54FDC4CC" w14:textId="4E342817" w:rsidR="00917FC3" w:rsidRPr="00F85A5B" w:rsidRDefault="00917FC3" w:rsidP="004E393A">
      <w:pPr>
        <w:rPr>
          <w:color w:val="000000" w:themeColor="text1"/>
        </w:rPr>
      </w:pPr>
      <w:r w:rsidRPr="00ED172B">
        <w:rPr>
          <w:color w:val="000000" w:themeColor="text1"/>
        </w:rPr>
        <w:t>No additional activities.</w:t>
      </w:r>
    </w:p>
    <w:p w14:paraId="7E4D8D02" w14:textId="77777777" w:rsidR="00297898" w:rsidRPr="00297898" w:rsidRDefault="00297898" w:rsidP="00297898">
      <w:pPr>
        <w:rPr>
          <w:rFonts w:cs="Arial"/>
          <w:b/>
          <w:bCs/>
        </w:rPr>
      </w:pPr>
      <w:bookmarkStart w:id="83" w:name="_Hlk109647119"/>
      <w:r w:rsidRPr="00297898">
        <w:rPr>
          <w:rFonts w:cs="Arial"/>
          <w:b/>
          <w:bCs/>
        </w:rPr>
        <w:t xml:space="preserve">Provide a timeline, anticipated data collection and measures, and expected outcomes for these activities that are related to the SiMR. </w:t>
      </w:r>
    </w:p>
    <w:bookmarkEnd w:id="83"/>
    <w:p w14:paraId="08124F49" w14:textId="4CDFC9D0" w:rsidR="006237B0" w:rsidRDefault="007B151D" w:rsidP="00067F9F">
      <w:pPr>
        <w:spacing w:before="0" w:after="0"/>
        <w:rPr>
          <w:color w:val="000000" w:themeColor="text1"/>
        </w:rPr>
      </w:pPr>
      <w:r w:rsidRPr="00ED172B">
        <w:rPr>
          <w:color w:val="000000" w:themeColor="text1"/>
        </w:rPr>
        <w:t xml:space="preserve">Data will be collected throughout the this fiscal year </w:t>
      </w:r>
    </w:p>
    <w:p w14:paraId="26E4FB73" w14:textId="77777777" w:rsidR="007B151D" w:rsidRPr="00F85A5B" w:rsidRDefault="007B151D" w:rsidP="003B71AB">
      <w:pPr>
        <w:rPr>
          <w:color w:val="000000" w:themeColor="text1"/>
        </w:rPr>
      </w:pPr>
    </w:p>
    <w:p w14:paraId="6983483D" w14:textId="3FFCDF3A" w:rsidR="009E0726" w:rsidRDefault="009E0726" w:rsidP="009E0726">
      <w:pPr>
        <w:rPr>
          <w:rFonts w:cs="Arial"/>
          <w:b/>
          <w:bCs/>
        </w:rPr>
      </w:pPr>
      <w:bookmarkStart w:id="84" w:name="_Hlk109647121"/>
      <w:r w:rsidRPr="009E0726">
        <w:rPr>
          <w:rFonts w:cs="Arial"/>
          <w:b/>
          <w:bCs/>
        </w:rPr>
        <w:t>Describe any newly identified barriers and include steps to address these barriers.</w:t>
      </w:r>
    </w:p>
    <w:bookmarkEnd w:id="84"/>
    <w:p w14:paraId="6E8B2008" w14:textId="0F892B41" w:rsidR="00F40121" w:rsidRDefault="00F40121" w:rsidP="00F40121">
      <w:pPr>
        <w:rPr>
          <w:color w:val="000000" w:themeColor="text1"/>
        </w:rPr>
      </w:pPr>
      <w:r w:rsidRPr="00ED172B">
        <w:rPr>
          <w:color w:val="000000" w:themeColor="text1"/>
        </w:rPr>
        <w:t>No barriers identified.</w:t>
      </w:r>
    </w:p>
    <w:p w14:paraId="630C787A" w14:textId="77777777" w:rsidR="009B26D1" w:rsidRPr="009E0726" w:rsidRDefault="009B26D1" w:rsidP="009E0726">
      <w:pPr>
        <w:rPr>
          <w:rFonts w:cs="Arial"/>
          <w:b/>
          <w:bCs/>
        </w:rPr>
      </w:pPr>
    </w:p>
    <w:p w14:paraId="2E2328D4" w14:textId="46BA2384" w:rsidR="00261010" w:rsidRPr="00261010" w:rsidRDefault="00261010" w:rsidP="00261010">
      <w:pPr>
        <w:rPr>
          <w:rFonts w:cs="Arial"/>
          <w:b/>
          <w:bCs/>
        </w:rPr>
      </w:pPr>
      <w:bookmarkStart w:id="85" w:name="_Hlk109647123"/>
      <w:r w:rsidRPr="00261010">
        <w:rPr>
          <w:rFonts w:cs="Arial"/>
          <w:b/>
          <w:bCs/>
        </w:rPr>
        <w:t>Provide additional information about this indicator (optional).</w:t>
      </w:r>
    </w:p>
    <w:bookmarkEnd w:id="85"/>
    <w:p w14:paraId="58D41C9E" w14:textId="2B949EC4" w:rsidR="00F40121" w:rsidRDefault="00F40121" w:rsidP="00F40121">
      <w:pPr>
        <w:rPr>
          <w:color w:val="000000" w:themeColor="text1"/>
        </w:rPr>
      </w:pPr>
    </w:p>
    <w:p w14:paraId="304699EC" w14:textId="77777777" w:rsidR="005838E8" w:rsidRDefault="005838E8" w:rsidP="00741E58">
      <w:pPr>
        <w:rPr>
          <w:b/>
          <w:bCs/>
        </w:rPr>
      </w:pPr>
    </w:p>
    <w:p w14:paraId="2B6FC0CA" w14:textId="77777777" w:rsidR="005838E8" w:rsidRPr="00F85A5B" w:rsidRDefault="005838E8" w:rsidP="00F85A5B">
      <w:pPr>
        <w:rPr>
          <w:b/>
          <w:bCs/>
        </w:rPr>
      </w:pPr>
    </w:p>
    <w:p w14:paraId="7B664953" w14:textId="677D6DE8" w:rsidR="00F5460E" w:rsidRPr="00A40EE1" w:rsidRDefault="00F5460E" w:rsidP="00F5460E">
      <w:pPr>
        <w:pStyle w:val="Heading2"/>
      </w:pPr>
      <w:r w:rsidRPr="00A40EE1">
        <w:t>1</w:t>
      </w:r>
      <w:r>
        <w:t>1</w:t>
      </w:r>
      <w:r w:rsidRPr="00A40EE1">
        <w:t xml:space="preserve"> - </w:t>
      </w:r>
      <w:r w:rsidRPr="00A10714">
        <w:t>Prior FFY Required Actions</w:t>
      </w:r>
    </w:p>
    <w:p w14:paraId="1E17F2E2" w14:textId="3EADC4EE" w:rsidR="00F5460E" w:rsidRPr="00ED172B" w:rsidRDefault="00F5460E" w:rsidP="00F5460E">
      <w:pPr>
        <w:rPr>
          <w:color w:val="000000" w:themeColor="text1"/>
        </w:rPr>
      </w:pPr>
      <w:r w:rsidRPr="00ED172B">
        <w:rPr>
          <w:color w:val="000000" w:themeColor="text1"/>
        </w:rPr>
        <w:t>The State did not summarize the infrastructure improvement strategies that were implemented, and the short-term outcomes achieved, including the measures or rationale used by the State and stakeholders to assess and communicate achievement. In the FFY2023 SPP/APR, the State must address all components of this Indicator.</w:t>
      </w:r>
      <w:r w:rsidRPr="00ED172B">
        <w:rPr>
          <w:color w:val="000000" w:themeColor="text1"/>
        </w:rPr>
        <w:br/>
      </w:r>
      <w:r w:rsidRPr="00ED172B">
        <w:rPr>
          <w:color w:val="000000" w:themeColor="text1"/>
        </w:rPr>
        <w:br/>
        <w:t xml:space="preserve">The State did not describe the specific strategies implemented to engage stakeholders. In the FFY 2023 SPP/APR, the State must provide information regarding the engagement strategies used and how the State addressed stakeholder concerns. </w:t>
      </w:r>
    </w:p>
    <w:p w14:paraId="459F79AC" w14:textId="2F9E10E6" w:rsidR="00F5460E" w:rsidRPr="00ED172B" w:rsidRDefault="00F5460E" w:rsidP="00F5460E">
      <w:pPr>
        <w:rPr>
          <w:color w:val="000000" w:themeColor="text1"/>
        </w:rPr>
      </w:pPr>
      <w:r w:rsidRPr="00ED172B">
        <w:rPr>
          <w:b/>
          <w:color w:val="000000" w:themeColor="text1"/>
        </w:rPr>
        <w:t>Response to actions required in FFY 2022 SPP/APR</w:t>
      </w:r>
      <w:r w:rsidRPr="00ED172B">
        <w:rPr>
          <w:color w:val="000000" w:themeColor="text1"/>
        </w:rPr>
        <w:t xml:space="preserve"> </w:t>
      </w:r>
    </w:p>
    <w:p w14:paraId="120B9B78" w14:textId="6874B425" w:rsidR="00F5460E" w:rsidRPr="00ED172B" w:rsidRDefault="00F5460E" w:rsidP="00F5460E">
      <w:pPr>
        <w:rPr>
          <w:color w:val="000000" w:themeColor="text1"/>
        </w:rPr>
      </w:pPr>
    </w:p>
    <w:p w14:paraId="68A5FD13" w14:textId="2BE41878" w:rsidR="00F5460E" w:rsidRPr="00A40EE1" w:rsidRDefault="00F5460E" w:rsidP="00F5460E">
      <w:pPr>
        <w:pStyle w:val="Heading2"/>
      </w:pPr>
      <w:r w:rsidRPr="00A40EE1">
        <w:t>1</w:t>
      </w:r>
      <w:r w:rsidR="001C46CD">
        <w:t>1</w:t>
      </w:r>
      <w:r w:rsidRPr="00A40EE1">
        <w:t xml:space="preserve"> - OSEP Response</w:t>
      </w:r>
    </w:p>
    <w:p w14:paraId="42EAAED9" w14:textId="7B889C41" w:rsidR="00F5460E" w:rsidRPr="00ED172B" w:rsidRDefault="00F5460E" w:rsidP="00F5460E">
      <w:pPr>
        <w:rPr>
          <w:color w:val="000000" w:themeColor="text1"/>
        </w:rPr>
      </w:pPr>
    </w:p>
    <w:p w14:paraId="404298B8" w14:textId="4D0869A2" w:rsidR="00F5460E" w:rsidRPr="00A40EE1" w:rsidRDefault="00F5460E" w:rsidP="00F5460E">
      <w:pPr>
        <w:pStyle w:val="Heading2"/>
      </w:pPr>
      <w:r w:rsidRPr="00A40EE1">
        <w:t>1</w:t>
      </w:r>
      <w:r w:rsidR="001C46CD">
        <w:t>1</w:t>
      </w:r>
      <w:r w:rsidRPr="00A40EE1">
        <w:t xml:space="preserve"> - Required Actions</w:t>
      </w:r>
    </w:p>
    <w:p w14:paraId="55E9952C" w14:textId="0C53720F" w:rsidR="00F5460E" w:rsidRPr="00ED172B" w:rsidRDefault="00F5460E" w:rsidP="00F5460E">
      <w:pPr>
        <w:rPr>
          <w:color w:val="000000" w:themeColor="text1"/>
        </w:rPr>
      </w:pPr>
    </w:p>
    <w:p w14:paraId="4FD6E4E7" w14:textId="77777777" w:rsidR="00530511" w:rsidRDefault="00621DEC" w:rsidP="00530511">
      <w:pPr>
        <w:pStyle w:val="Heading1"/>
      </w:pPr>
      <w:r>
        <w:rPr>
          <w:color w:val="000000" w:themeColor="text1"/>
        </w:rPr>
        <w:br w:type="page"/>
      </w:r>
      <w:r w:rsidR="00530511">
        <w:lastRenderedPageBreak/>
        <w:t>Indicator 12: General Supervision</w:t>
      </w:r>
    </w:p>
    <w:p w14:paraId="4A70D54F" w14:textId="515AA04A" w:rsidR="00DE79BF" w:rsidRPr="00727602" w:rsidRDefault="00DE79BF" w:rsidP="00727602">
      <w:pPr>
        <w:rPr>
          <w:b/>
          <w:color w:val="000000" w:themeColor="text1"/>
          <w:sz w:val="20"/>
          <w:szCs w:val="20"/>
        </w:rPr>
      </w:pPr>
      <w:r w:rsidRPr="00727602">
        <w:rPr>
          <w:b/>
          <w:color w:val="000000" w:themeColor="text1"/>
          <w:sz w:val="20"/>
          <w:szCs w:val="20"/>
        </w:rPr>
        <w:t>Instructions and Measurement</w:t>
      </w:r>
    </w:p>
    <w:p w14:paraId="65B40493" w14:textId="77777777" w:rsidR="00DE79BF" w:rsidRPr="007D0769" w:rsidRDefault="00DE79BF" w:rsidP="00DE79BF">
      <w:pPr>
        <w:keepNext/>
        <w:spacing w:after="0"/>
        <w:rPr>
          <w:rFonts w:eastAsia="Calibri" w:cs="Arial"/>
          <w:bCs/>
          <w:szCs w:val="16"/>
        </w:rPr>
      </w:pPr>
      <w:r w:rsidRPr="007D0769">
        <w:rPr>
          <w:rFonts w:eastAsia="Calibri" w:cs="Arial"/>
          <w:b/>
          <w:szCs w:val="16"/>
        </w:rPr>
        <w:t xml:space="preserve">Monitoring Priority: </w:t>
      </w:r>
      <w:r w:rsidRPr="007D0769">
        <w:rPr>
          <w:rFonts w:eastAsia="Calibri" w:cs="Arial"/>
          <w:bCs/>
          <w:szCs w:val="16"/>
        </w:rPr>
        <w:t>General Supervision</w:t>
      </w:r>
    </w:p>
    <w:p w14:paraId="4620632E" w14:textId="22C2C86F" w:rsidR="00DE79BF" w:rsidRPr="007D0769" w:rsidRDefault="00DE79BF" w:rsidP="00DE79BF">
      <w:pPr>
        <w:keepNext/>
        <w:spacing w:after="0"/>
        <w:rPr>
          <w:rFonts w:eastAsia="Calibri" w:cs="Arial"/>
          <w:szCs w:val="16"/>
        </w:rPr>
      </w:pPr>
      <w:r w:rsidRPr="007D0769">
        <w:rPr>
          <w:rFonts w:eastAsia="Calibri" w:cs="Arial"/>
          <w:b/>
          <w:szCs w:val="16"/>
        </w:rPr>
        <w:t xml:space="preserve">Compliance indicator: </w:t>
      </w:r>
      <w:r w:rsidRPr="007D0769">
        <w:rPr>
          <w:rFonts w:eastAsia="Calibri" w:cs="Arial"/>
          <w:szCs w:val="16"/>
        </w:rPr>
        <w:t>This SPP/APR indicator focuses on the State lead agency’s exercise of its general supervision responsibility to monitor its Early Intervention Service (EIS) Providers and EIS Programs for requirements under Part C of the Individuals with Disabilities Act (IDEA) through the State’s reporting on timely correction of noncompliance (20 U.S.C. 1416(a) and 1435(a)(10); 34 C.F.R. §§ 303.120 and 303.700). In reporting on findings under this indicator, 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w:t>
      </w:r>
    </w:p>
    <w:p w14:paraId="6389A524" w14:textId="77777777" w:rsidR="00DE79BF" w:rsidRPr="007D0769" w:rsidRDefault="00DE79BF" w:rsidP="00DE79BF">
      <w:pPr>
        <w:keepNext/>
        <w:spacing w:after="0"/>
        <w:rPr>
          <w:rFonts w:eastAsia="Calibri" w:cs="Arial"/>
          <w:b/>
          <w:szCs w:val="16"/>
        </w:rPr>
      </w:pPr>
      <w:r w:rsidRPr="007D0769">
        <w:rPr>
          <w:rFonts w:eastAsia="Calibri" w:cs="Arial"/>
          <w:b/>
          <w:szCs w:val="16"/>
        </w:rPr>
        <w:t>Data Source</w:t>
      </w:r>
    </w:p>
    <w:p w14:paraId="32913038" w14:textId="77777777" w:rsidR="00DE79BF" w:rsidRPr="007D0769" w:rsidRDefault="00DE79BF" w:rsidP="00DE79BF">
      <w:pPr>
        <w:keepNext/>
        <w:spacing w:after="0"/>
        <w:rPr>
          <w:rFonts w:eastAsia="Calibri" w:cs="Arial"/>
          <w:bCs/>
          <w:szCs w:val="16"/>
        </w:rPr>
      </w:pPr>
      <w:r w:rsidRPr="007D0769">
        <w:rPr>
          <w:rFonts w:eastAsia="Calibri" w:cs="Arial"/>
          <w:bCs/>
          <w:szCs w:val="16"/>
        </w:rPr>
        <w:t>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 Provide the actual numbers used in the calculation. Include all findings of noncompliance regardless of the specific type and extent of noncompliance.</w:t>
      </w:r>
    </w:p>
    <w:p w14:paraId="06F39B88" w14:textId="77777777" w:rsidR="00DE79BF" w:rsidRPr="007D0769" w:rsidRDefault="00DE79BF" w:rsidP="00DE79BF">
      <w:pPr>
        <w:keepNext/>
        <w:spacing w:after="0"/>
        <w:rPr>
          <w:rFonts w:eastAsia="Calibri" w:cs="Arial"/>
          <w:b/>
          <w:szCs w:val="16"/>
        </w:rPr>
      </w:pPr>
      <w:r w:rsidRPr="007D0769">
        <w:rPr>
          <w:rFonts w:eastAsia="Calibri" w:cs="Arial"/>
          <w:b/>
          <w:szCs w:val="16"/>
        </w:rPr>
        <w:t>Measurement</w:t>
      </w:r>
    </w:p>
    <w:p w14:paraId="4AA252F3" w14:textId="77777777" w:rsidR="00DE79BF" w:rsidRPr="007D0769" w:rsidRDefault="00DE79BF" w:rsidP="00DE79BF">
      <w:pPr>
        <w:keepNext/>
        <w:spacing w:after="0"/>
        <w:rPr>
          <w:rFonts w:eastAsia="Calibri" w:cs="Arial"/>
          <w:szCs w:val="16"/>
        </w:rPr>
      </w:pPr>
      <w:r w:rsidRPr="007D0769">
        <w:rPr>
          <w:rFonts w:eastAsia="Calibri" w:cs="Arial"/>
          <w:szCs w:val="16"/>
        </w:rPr>
        <w:t xml:space="preserve">This SPP/APR indicator requires the reporting on the percent of findings of noncompliance corrected within one year of identification: </w:t>
      </w:r>
    </w:p>
    <w:p w14:paraId="50550400" w14:textId="77777777" w:rsidR="00DE79BF" w:rsidRPr="007D0769" w:rsidRDefault="00DE79BF" w:rsidP="00DE79BF">
      <w:pPr>
        <w:keepNext/>
        <w:numPr>
          <w:ilvl w:val="0"/>
          <w:numId w:val="28"/>
        </w:numPr>
        <w:spacing w:after="0"/>
        <w:rPr>
          <w:rFonts w:eastAsia="Calibri" w:cs="Arial"/>
          <w:szCs w:val="16"/>
        </w:rPr>
      </w:pPr>
      <w:r w:rsidRPr="007D0769">
        <w:rPr>
          <w:rFonts w:eastAsia="Calibri" w:cs="Arial"/>
          <w:szCs w:val="16"/>
        </w:rPr>
        <w:t># of findings of noncompliance issued the prior Federal fiscal year (FFY) (e.g., for the FFY 2023 submission, use FFY 2022, July 1, 2022 – June 30, 2023)</w:t>
      </w:r>
    </w:p>
    <w:p w14:paraId="68875807" w14:textId="069BCD19" w:rsidR="00DE79BF" w:rsidRPr="007D0769" w:rsidRDefault="00DE79BF" w:rsidP="00DE79BF">
      <w:pPr>
        <w:keepNext/>
        <w:numPr>
          <w:ilvl w:val="0"/>
          <w:numId w:val="28"/>
        </w:numPr>
        <w:spacing w:after="0"/>
        <w:rPr>
          <w:rFonts w:eastAsia="Calibri" w:cs="Arial"/>
          <w:szCs w:val="16"/>
        </w:rPr>
      </w:pPr>
      <w:r w:rsidRPr="007D0769">
        <w:rPr>
          <w:rFonts w:eastAsia="Calibri" w:cs="Arial"/>
          <w:szCs w:val="16"/>
        </w:rPr>
        <w:t># of findings of noncompliance the State verified were corrected no later than one year after the State’s written notification of findings of noncompliance</w:t>
      </w:r>
    </w:p>
    <w:p w14:paraId="2B48F131" w14:textId="77777777" w:rsidR="00DE79BF" w:rsidRDefault="00DE79BF" w:rsidP="00DE79BF">
      <w:pPr>
        <w:keepNext/>
        <w:spacing w:after="0"/>
        <w:rPr>
          <w:rFonts w:eastAsia="Calibri" w:cs="Arial"/>
          <w:szCs w:val="16"/>
        </w:rPr>
      </w:pPr>
      <w:r w:rsidRPr="007D0769">
        <w:rPr>
          <w:rFonts w:eastAsia="Calibri" w:cs="Arial"/>
          <w:szCs w:val="16"/>
        </w:rPr>
        <w:t>Percent = [(b) divided by (a)] times 100</w:t>
      </w:r>
    </w:p>
    <w:p w14:paraId="257D3B17" w14:textId="01B3DB49" w:rsidR="002A3DB5" w:rsidRPr="00EC51AB" w:rsidRDefault="002A3DB5" w:rsidP="00DE79BF">
      <w:pPr>
        <w:keepNext/>
        <w:spacing w:after="0"/>
        <w:rPr>
          <w:rFonts w:eastAsia="Calibri" w:cs="Arial"/>
          <w:i/>
          <w:iCs/>
          <w:szCs w:val="16"/>
        </w:rPr>
      </w:pPr>
      <w:r w:rsidRPr="00EC51AB">
        <w:rPr>
          <w:rFonts w:eastAsia="Calibri" w:cs="Arial"/>
          <w:i/>
          <w:iCs/>
          <w:szCs w:val="16"/>
        </w:rPr>
        <w:t>States are required to complete the General Supervision Data Table within the online reporting tool.</w:t>
      </w:r>
    </w:p>
    <w:p w14:paraId="2859A6D0" w14:textId="77777777" w:rsidR="00DE79BF" w:rsidRPr="007D0769" w:rsidRDefault="00DE79BF" w:rsidP="00DE79BF">
      <w:pPr>
        <w:keepNext/>
        <w:spacing w:after="0"/>
        <w:rPr>
          <w:rFonts w:eastAsia="Calibri" w:cs="Arial"/>
          <w:b/>
          <w:szCs w:val="16"/>
        </w:rPr>
      </w:pPr>
      <w:r w:rsidRPr="007D0769">
        <w:rPr>
          <w:rFonts w:eastAsia="Calibri" w:cs="Arial"/>
          <w:b/>
          <w:szCs w:val="16"/>
        </w:rPr>
        <w:t>Instructions</w:t>
      </w:r>
    </w:p>
    <w:p w14:paraId="12615461" w14:textId="77777777" w:rsidR="00DE79BF" w:rsidRPr="007D0769" w:rsidRDefault="00DE79BF" w:rsidP="00DE79BF">
      <w:pPr>
        <w:rPr>
          <w:rFonts w:eastAsia="Calibri" w:cs="Arial"/>
          <w:szCs w:val="16"/>
        </w:rPr>
      </w:pPr>
      <w:r w:rsidRPr="007D0769">
        <w:rPr>
          <w:rFonts w:eastAsia="Calibri" w:cs="Arial"/>
          <w:szCs w:val="16"/>
        </w:rPr>
        <w:t>Baseline Data: The State must provide baseline data expressed as a percentage. OSEP assumes that the State’s FFY 2023 data for this indicator is the State’s baseline data unless the State provides an explanation for using other baseline data.</w:t>
      </w:r>
    </w:p>
    <w:p w14:paraId="3AEEC669" w14:textId="77777777" w:rsidR="00DE79BF" w:rsidRPr="007D0769" w:rsidRDefault="00DE79BF" w:rsidP="00DE79BF">
      <w:pPr>
        <w:rPr>
          <w:rFonts w:eastAsia="Calibri" w:cs="Arial"/>
          <w:szCs w:val="16"/>
        </w:rPr>
      </w:pPr>
      <w:r w:rsidRPr="007D0769">
        <w:rPr>
          <w:rFonts w:eastAsia="Calibri" w:cs="Arial"/>
          <w:szCs w:val="16"/>
        </w:rPr>
        <w:t xml:space="preserve">Targets must be 100%. </w:t>
      </w:r>
    </w:p>
    <w:p w14:paraId="753E7452" w14:textId="77777777" w:rsidR="00DE79BF" w:rsidRPr="007D0769" w:rsidRDefault="00DE79BF" w:rsidP="00DE79BF">
      <w:pPr>
        <w:rPr>
          <w:rFonts w:eastAsia="Calibri" w:cs="Arial"/>
          <w:szCs w:val="16"/>
        </w:rPr>
      </w:pPr>
      <w:r w:rsidRPr="007D0769">
        <w:rPr>
          <w:rFonts w:eastAsia="Calibri" w:cs="Arial"/>
          <w:szCs w:val="16"/>
        </w:rPr>
        <w:t>Report in Column A the total number of findings of noncompliance made in FFY 2022 (July 1, 2022 – June 30, 2023) and report in Column B the number of those findings which were timely corrected, as soon as possible and in no case later than one year after the State’s written notification of noncompliance.</w:t>
      </w:r>
    </w:p>
    <w:p w14:paraId="7801673F" w14:textId="2217FC92" w:rsidR="00DE79BF" w:rsidRPr="007D0769" w:rsidRDefault="00DE79BF" w:rsidP="00DE79BF">
      <w:pPr>
        <w:rPr>
          <w:rFonts w:eastAsia="Calibri" w:cs="Arial"/>
          <w:b/>
          <w:bCs/>
          <w:iCs/>
          <w:szCs w:val="16"/>
        </w:rPr>
      </w:pPr>
      <w:r w:rsidRPr="007D0769">
        <w:rPr>
          <w:rFonts w:eastAsia="Calibri" w:cs="Arial"/>
          <w:iCs/>
          <w:szCs w:val="16"/>
        </w:rPr>
        <w:t>Starting with the FFY 2023 SPP/APR, States are required to report on the correction of noncompliance related to compliance indicators 1, 7, 8a, 8b, and 8c based on findings issued in FFY 2022. Under each compliance indicator, States report on the correction of noncompliance for that specific indicator. However, in this general supervision Indicator 12, States report on both those findings as well as any additional findings that the State issued related to that compliance indicator.</w:t>
      </w:r>
    </w:p>
    <w:p w14:paraId="68E2C6A8" w14:textId="77777777" w:rsidR="00DE79BF" w:rsidRPr="007D0769" w:rsidRDefault="00DE79BF" w:rsidP="00DE79BF">
      <w:pPr>
        <w:rPr>
          <w:rFonts w:eastAsia="Calibri" w:cs="Arial"/>
          <w:iCs/>
          <w:szCs w:val="16"/>
        </w:rPr>
      </w:pPr>
      <w:r w:rsidRPr="007D0769">
        <w:rPr>
          <w:rFonts w:eastAsia="Calibri" w:cs="Arial"/>
          <w:iCs/>
          <w:szCs w:val="16"/>
        </w:rPr>
        <w:t xml:space="preserve">In the last row of this General Supervision Data Table, States may also provide additional information related to other findings of noncompliance that are not specific to the compliance indicators. This row would include reporting on all other findings of noncompliance that were not reported by the State under the compliance indicators (e.g., Results indicators (including related requirements), Fiscal, Dispute Resolution, etc.). In future years (e.g., with the FFY 2026 SPP/APR), States may be required to further disaggregate findings by results indicators (2, 3, 4, 5, 6, 9, 10, and 11), fiscal and other areas. </w:t>
      </w:r>
    </w:p>
    <w:p w14:paraId="5EEC1516" w14:textId="77777777" w:rsidR="00DE79BF" w:rsidRDefault="00DE79BF" w:rsidP="00DE79BF">
      <w:pPr>
        <w:rPr>
          <w:rFonts w:eastAsia="Calibri" w:cs="Arial"/>
          <w:szCs w:val="16"/>
        </w:rPr>
      </w:pPr>
      <w:r w:rsidRPr="007D0769">
        <w:rPr>
          <w:rFonts w:eastAsia="Calibri" w:cs="Arial"/>
          <w:szCs w:val="16"/>
        </w:rPr>
        <w:t>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w:t>
      </w:r>
    </w:p>
    <w:p w14:paraId="7B66C660" w14:textId="79A98C25" w:rsidR="00DE79BF" w:rsidRPr="007D0769" w:rsidRDefault="00E73FB9" w:rsidP="00EC51AB">
      <w:pPr>
        <w:pStyle w:val="Heading2"/>
      </w:pPr>
      <w:r>
        <w:t xml:space="preserve">12 - </w:t>
      </w:r>
      <w:r w:rsidR="00DE79BF" w:rsidRPr="007D0769">
        <w:t>Indicator Data</w:t>
      </w:r>
    </w:p>
    <w:p w14:paraId="30D55A72" w14:textId="77777777" w:rsidR="00DE79BF" w:rsidRPr="007D0769" w:rsidRDefault="00DE79BF" w:rsidP="00DE79BF">
      <w:pPr>
        <w:keepNext/>
        <w:spacing w:after="0"/>
        <w:rPr>
          <w:rFonts w:eastAsia="Calibri" w:cs="Arial"/>
          <w:b/>
          <w:szCs w:val="16"/>
        </w:rPr>
      </w:pPr>
      <w:r w:rsidRPr="007D0769">
        <w:rPr>
          <w:rFonts w:eastAsia="Calibri" w:cs="Arial"/>
          <w:b/>
          <w:szCs w:val="16"/>
        </w:rPr>
        <w:t>Historical Data</w:t>
      </w:r>
    </w:p>
    <w:tbl>
      <w:tblPr>
        <w:tblStyle w:val="TableGrid"/>
        <w:tblW w:w="0" w:type="auto"/>
        <w:tblLayout w:type="fixed"/>
        <w:tblLook w:val="04A0" w:firstRow="1" w:lastRow="0" w:firstColumn="1" w:lastColumn="0" w:noHBand="0" w:noVBand="1"/>
        <w:tblCaption w:val="C12BASELINEDATA"/>
      </w:tblPr>
      <w:tblGrid>
        <w:gridCol w:w="1797"/>
        <w:gridCol w:w="1798"/>
      </w:tblGrid>
      <w:tr w:rsidR="00DE79BF" w:rsidRPr="007D0769" w14:paraId="516E9A56" w14:textId="77777777" w:rsidTr="00EC51AB">
        <w:trPr>
          <w:trHeight w:val="360"/>
          <w:tblHeader/>
        </w:trPr>
        <w:tc>
          <w:tcPr>
            <w:tcW w:w="1797" w:type="dxa"/>
          </w:tcPr>
          <w:p w14:paraId="03FB8DC7" w14:textId="77777777" w:rsidR="00DE79BF" w:rsidRPr="007D0769" w:rsidRDefault="00DE79BF">
            <w:pPr>
              <w:jc w:val="center"/>
              <w:rPr>
                <w:rFonts w:eastAsia="Calibri" w:cs="Arial"/>
                <w:b/>
                <w:color w:val="000000"/>
                <w:szCs w:val="16"/>
              </w:rPr>
            </w:pPr>
            <w:r w:rsidRPr="007D0769">
              <w:rPr>
                <w:rFonts w:eastAsia="Calibri" w:cs="Arial"/>
                <w:b/>
                <w:color w:val="000000"/>
                <w:szCs w:val="16"/>
              </w:rPr>
              <w:t>Baseline Year</w:t>
            </w:r>
          </w:p>
        </w:tc>
        <w:tc>
          <w:tcPr>
            <w:tcW w:w="1798" w:type="dxa"/>
          </w:tcPr>
          <w:p w14:paraId="647AADE8" w14:textId="77777777" w:rsidR="00DE79BF" w:rsidRPr="007D0769" w:rsidRDefault="00DE79BF">
            <w:pPr>
              <w:jc w:val="center"/>
              <w:rPr>
                <w:rFonts w:eastAsia="Calibri" w:cs="Arial"/>
                <w:b/>
                <w:color w:val="000000"/>
                <w:szCs w:val="16"/>
              </w:rPr>
            </w:pPr>
            <w:r w:rsidRPr="007D0769">
              <w:rPr>
                <w:rFonts w:eastAsia="Calibri" w:cs="Arial"/>
                <w:b/>
                <w:color w:val="000000"/>
                <w:szCs w:val="16"/>
              </w:rPr>
              <w:t>Baseline Data</w:t>
            </w:r>
          </w:p>
        </w:tc>
      </w:tr>
      <w:tr w:rsidR="00DE79BF" w:rsidRPr="007D0769" w14:paraId="6B0E0681" w14:textId="77777777" w:rsidTr="00EC51AB">
        <w:trPr>
          <w:trHeight w:val="360"/>
          <w:tblHeader/>
        </w:trPr>
        <w:tc>
          <w:tcPr>
            <w:tcW w:w="1797" w:type="dxa"/>
            <w:shd w:val="clear" w:color="auto" w:fill="auto"/>
          </w:tcPr>
          <w:p w14:paraId="1B23B527" w14:textId="0061F487" w:rsidR="00DE79BF" w:rsidRPr="007D0769" w:rsidRDefault="00DE79BF" w:rsidP="00DE79BF">
            <w:pPr>
              <w:jc w:val="center"/>
              <w:rPr>
                <w:rFonts w:eastAsia="Calibri" w:cs="Arial"/>
                <w:b/>
                <w:color w:val="000000"/>
                <w:szCs w:val="16"/>
              </w:rPr>
            </w:pPr>
            <w:r w:rsidRPr="00ED172B">
              <w:rPr>
                <w:color w:val="000000" w:themeColor="text1"/>
              </w:rPr>
              <w:t>2023</w:t>
            </w:r>
          </w:p>
        </w:tc>
        <w:tc>
          <w:tcPr>
            <w:tcW w:w="1798" w:type="dxa"/>
            <w:shd w:val="clear" w:color="auto" w:fill="auto"/>
            <w:vAlign w:val="center"/>
          </w:tcPr>
          <w:p w14:paraId="43E95FD3" w14:textId="04763CF4" w:rsidR="00DE79BF" w:rsidRPr="007D0769" w:rsidRDefault="00DE79BF" w:rsidP="00DE79BF">
            <w:pPr>
              <w:jc w:val="center"/>
              <w:rPr>
                <w:rFonts w:eastAsia="Calibri" w:cs="Arial"/>
                <w:b/>
                <w:color w:val="000000"/>
                <w:szCs w:val="16"/>
              </w:rPr>
            </w:pPr>
            <w:r w:rsidRPr="00ED172B">
              <w:rPr>
                <w:color w:val="000000" w:themeColor="text1"/>
              </w:rPr>
              <w:t>100.00%</w:t>
            </w:r>
          </w:p>
        </w:tc>
      </w:tr>
    </w:tbl>
    <w:p w14:paraId="75B99B94" w14:textId="77777777" w:rsidR="00DE79BF" w:rsidRPr="007D0769" w:rsidRDefault="00DE79BF" w:rsidP="00DE79BF">
      <w:pPr>
        <w:rPr>
          <w:rFonts w:eastAsia="Calibri" w:cs="Arial"/>
          <w:b/>
          <w:szCs w:val="16"/>
        </w:rPr>
      </w:pPr>
      <w:r w:rsidRPr="007D0769">
        <w:rPr>
          <w:rFonts w:eastAsia="Calibri" w:cs="Arial"/>
          <w:b/>
          <w:szCs w:val="16"/>
        </w:rPr>
        <w:t>Targets</w:t>
      </w:r>
    </w:p>
    <w:tbl>
      <w:tblPr>
        <w:tblStyle w:val="TableGrid1"/>
        <w:tblW w:w="4110" w:type="pct"/>
        <w:tblLook w:val="0020" w:firstRow="1" w:lastRow="0" w:firstColumn="0" w:lastColumn="0" w:noHBand="0" w:noVBand="0"/>
        <w:tblCaption w:val="C12TARGETS"/>
      </w:tblPr>
      <w:tblGrid>
        <w:gridCol w:w="679"/>
        <w:gridCol w:w="2474"/>
        <w:gridCol w:w="2654"/>
        <w:gridCol w:w="3062"/>
      </w:tblGrid>
      <w:tr w:rsidR="006B5AEF" w:rsidRPr="007D0769" w14:paraId="69F2B65C" w14:textId="77777777" w:rsidTr="00EC51AB">
        <w:trPr>
          <w:trHeight w:val="360"/>
        </w:trPr>
        <w:tc>
          <w:tcPr>
            <w:tcW w:w="383" w:type="pct"/>
          </w:tcPr>
          <w:p w14:paraId="6C927579" w14:textId="77777777" w:rsidR="006B5AEF" w:rsidRPr="007D0769" w:rsidRDefault="006B5AEF" w:rsidP="006B5AEF">
            <w:pPr>
              <w:keepNext/>
              <w:jc w:val="center"/>
              <w:rPr>
                <w:rFonts w:eastAsia="Calibri" w:cs="Arial"/>
                <w:b/>
                <w:szCs w:val="16"/>
              </w:rPr>
            </w:pPr>
            <w:r w:rsidRPr="007D0769">
              <w:rPr>
                <w:rFonts w:eastAsia="Calibri" w:cs="Arial"/>
                <w:b/>
                <w:szCs w:val="16"/>
              </w:rPr>
              <w:t>FFY</w:t>
            </w:r>
          </w:p>
        </w:tc>
        <w:tc>
          <w:tcPr>
            <w:tcW w:w="1395" w:type="pct"/>
            <w:vAlign w:val="center"/>
          </w:tcPr>
          <w:p w14:paraId="49B194C6" w14:textId="16A5F856" w:rsidR="009048B0" w:rsidRPr="007D0769" w:rsidRDefault="006B5AEF" w:rsidP="006675B4">
            <w:pPr>
              <w:keepNext/>
              <w:jc w:val="center"/>
              <w:rPr>
                <w:rFonts w:eastAsia="Calibri" w:cs="Arial"/>
                <w:b/>
                <w:bCs/>
                <w:szCs w:val="16"/>
              </w:rPr>
            </w:pPr>
            <w:r w:rsidRPr="00ED172B">
              <w:rPr>
                <w:b/>
                <w:color w:val="000000" w:themeColor="text1"/>
              </w:rPr>
              <w:t>2023</w:t>
            </w:r>
          </w:p>
        </w:tc>
        <w:tc>
          <w:tcPr>
            <w:tcW w:w="1496" w:type="pct"/>
          </w:tcPr>
          <w:p w14:paraId="3CA54679" w14:textId="17A12035" w:rsidR="009048B0" w:rsidRPr="007D0769" w:rsidDel="00654CAF" w:rsidRDefault="006B5AEF" w:rsidP="006675B4">
            <w:pPr>
              <w:keepNext/>
              <w:jc w:val="center"/>
              <w:rPr>
                <w:rFonts w:eastAsia="Calibri" w:cs="Arial"/>
                <w:b/>
                <w:bCs/>
                <w:szCs w:val="16"/>
              </w:rPr>
            </w:pPr>
            <w:r>
              <w:rPr>
                <w:rFonts w:cs="Arial"/>
                <w:b/>
                <w:color w:val="000000" w:themeColor="text1"/>
                <w:szCs w:val="16"/>
              </w:rPr>
              <w:t>2024</w:t>
            </w:r>
          </w:p>
        </w:tc>
        <w:tc>
          <w:tcPr>
            <w:tcW w:w="1726" w:type="pct"/>
          </w:tcPr>
          <w:p w14:paraId="2B8D61EE" w14:textId="68445C03" w:rsidR="009048B0" w:rsidRPr="007D0769" w:rsidDel="00654CAF" w:rsidRDefault="006B5AEF" w:rsidP="006675B4">
            <w:pPr>
              <w:keepNext/>
              <w:jc w:val="center"/>
              <w:rPr>
                <w:rFonts w:eastAsia="Calibri" w:cs="Arial"/>
                <w:b/>
                <w:bCs/>
                <w:szCs w:val="16"/>
              </w:rPr>
            </w:pPr>
            <w:r w:rsidRPr="005A1B4F">
              <w:rPr>
                <w:rFonts w:cs="Arial"/>
                <w:b/>
                <w:color w:val="000000" w:themeColor="text1"/>
                <w:szCs w:val="16"/>
              </w:rPr>
              <w:t>2025</w:t>
            </w:r>
          </w:p>
        </w:tc>
      </w:tr>
      <w:tr w:rsidR="00277E7F" w:rsidRPr="007D0769" w14:paraId="5E114CF3" w14:textId="77777777" w:rsidTr="00EC51AB">
        <w:trPr>
          <w:trHeight w:val="360"/>
        </w:trPr>
        <w:tc>
          <w:tcPr>
            <w:tcW w:w="383" w:type="pct"/>
          </w:tcPr>
          <w:p w14:paraId="1F4ACB87" w14:textId="77777777" w:rsidR="00277E7F" w:rsidRPr="007D0769" w:rsidRDefault="00277E7F" w:rsidP="00277E7F">
            <w:pPr>
              <w:rPr>
                <w:rFonts w:eastAsia="Calibri" w:cs="Arial"/>
                <w:szCs w:val="16"/>
              </w:rPr>
            </w:pPr>
            <w:r w:rsidRPr="007D0769">
              <w:rPr>
                <w:rFonts w:eastAsia="Calibri" w:cs="Arial"/>
                <w:szCs w:val="16"/>
              </w:rPr>
              <w:t>Target</w:t>
            </w:r>
          </w:p>
        </w:tc>
        <w:tc>
          <w:tcPr>
            <w:tcW w:w="1395" w:type="pct"/>
            <w:vAlign w:val="center"/>
          </w:tcPr>
          <w:p w14:paraId="136EC74C" w14:textId="3DE60E9F" w:rsidR="00277E7F" w:rsidRPr="007D0769" w:rsidRDefault="00277E7F" w:rsidP="00277E7F">
            <w:pPr>
              <w:jc w:val="center"/>
              <w:rPr>
                <w:rFonts w:eastAsia="Calibri" w:cs="Arial"/>
                <w:caps/>
                <w:color w:val="548DD4"/>
                <w:szCs w:val="16"/>
              </w:rPr>
            </w:pPr>
            <w:r w:rsidRPr="00ED172B">
              <w:rPr>
                <w:color w:val="000000" w:themeColor="text1"/>
              </w:rPr>
              <w:t>100%</w:t>
            </w:r>
          </w:p>
        </w:tc>
        <w:tc>
          <w:tcPr>
            <w:tcW w:w="1496" w:type="pct"/>
          </w:tcPr>
          <w:p w14:paraId="1BE06C81" w14:textId="75058524" w:rsidR="00277E7F" w:rsidRPr="007D0769" w:rsidRDefault="00277E7F" w:rsidP="00277E7F">
            <w:pPr>
              <w:jc w:val="center"/>
              <w:rPr>
                <w:rFonts w:eastAsia="Calibri" w:cs="Arial"/>
                <w:caps/>
                <w:color w:val="548DD4"/>
                <w:szCs w:val="16"/>
              </w:rPr>
            </w:pPr>
            <w:r>
              <w:rPr>
                <w:rFonts w:cs="Arial"/>
                <w:color w:val="000000" w:themeColor="text1"/>
                <w:szCs w:val="16"/>
              </w:rPr>
              <w:t>100%</w:t>
            </w:r>
          </w:p>
        </w:tc>
        <w:tc>
          <w:tcPr>
            <w:tcW w:w="1726" w:type="pct"/>
          </w:tcPr>
          <w:p w14:paraId="0BAF45B1" w14:textId="43684450" w:rsidR="00277E7F" w:rsidRPr="007D0769" w:rsidRDefault="00277E7F" w:rsidP="00277E7F">
            <w:pPr>
              <w:jc w:val="center"/>
              <w:rPr>
                <w:rFonts w:eastAsia="Calibri" w:cs="Arial"/>
                <w:caps/>
                <w:color w:val="548DD4"/>
                <w:szCs w:val="16"/>
              </w:rPr>
            </w:pPr>
            <w:r w:rsidRPr="005F5F3C">
              <w:rPr>
                <w:rFonts w:cs="Arial"/>
                <w:color w:val="000000" w:themeColor="text1"/>
                <w:szCs w:val="16"/>
              </w:rPr>
              <w:t>100%</w:t>
            </w:r>
          </w:p>
        </w:tc>
      </w:tr>
    </w:tbl>
    <w:p w14:paraId="336EB42D" w14:textId="77777777" w:rsidR="000770F0" w:rsidRPr="007D0769" w:rsidRDefault="000770F0" w:rsidP="00277E7F">
      <w:pPr>
        <w:rPr>
          <w:rFonts w:eastAsia="Calibri" w:cs="Arial"/>
          <w:b/>
          <w:szCs w:val="16"/>
        </w:rPr>
      </w:pPr>
    </w:p>
    <w:p w14:paraId="54ECFA3E" w14:textId="45623B49" w:rsidR="00277E7F" w:rsidRPr="007D0769" w:rsidRDefault="00277E7F" w:rsidP="00277E7F">
      <w:pPr>
        <w:rPr>
          <w:rFonts w:eastAsia="Times New Roman" w:cs="Arial"/>
          <w:b/>
          <w:bCs/>
          <w:szCs w:val="16"/>
        </w:rPr>
      </w:pPr>
      <w:r w:rsidRPr="007D0769">
        <w:rPr>
          <w:rFonts w:eastAsia="Times New Roman" w:cs="Arial"/>
          <w:b/>
          <w:bCs/>
          <w:szCs w:val="16"/>
        </w:rPr>
        <w:t>Indicator 1. Percent of infants and toddlers with Individual Family Service Plans (IFSPs) who receive the early intervention services on their IFSPs in a timely manner. (20 U.S.C. 1416(a)(3)(A) and 1442)</w:t>
      </w:r>
    </w:p>
    <w:p w14:paraId="2248EFEC" w14:textId="6DD6D269" w:rsidR="00277E7F" w:rsidRDefault="00277E7F" w:rsidP="00277E7F">
      <w:pPr>
        <w:spacing w:after="0"/>
        <w:textAlignment w:val="baseline"/>
        <w:rPr>
          <w:rFonts w:eastAsia="Times New Roman" w:cs="Arial"/>
          <w:b/>
          <w:bCs/>
          <w:szCs w:val="16"/>
        </w:rPr>
      </w:pPr>
      <w:r w:rsidRPr="007D0769">
        <w:rPr>
          <w:rFonts w:eastAsia="Times New Roman" w:cs="Arial"/>
          <w:b/>
          <w:bCs/>
          <w:szCs w:val="16"/>
        </w:rPr>
        <w:t>Findings of Noncompliance Identified in FFY 2022</w:t>
      </w:r>
    </w:p>
    <w:tbl>
      <w:tblPr>
        <w:tblStyle w:val="TableGrid"/>
        <w:tblW w:w="4952" w:type="pct"/>
        <w:tblInd w:w="103" w:type="dxa"/>
        <w:tblLayout w:type="fixed"/>
        <w:tblLook w:val="04A0" w:firstRow="1" w:lastRow="0" w:firstColumn="1" w:lastColumn="0" w:noHBand="0" w:noVBand="1"/>
        <w:tblCaption w:val="C12FONC01"/>
      </w:tblPr>
      <w:tblGrid>
        <w:gridCol w:w="1634"/>
        <w:gridCol w:w="2265"/>
        <w:gridCol w:w="2030"/>
        <w:gridCol w:w="2340"/>
        <w:gridCol w:w="2417"/>
      </w:tblGrid>
      <w:tr w:rsidR="001B2809" w:rsidRPr="007D0769" w14:paraId="54C82B66" w14:textId="77777777" w:rsidTr="00EC51AB">
        <w:trPr>
          <w:trHeight w:val="360"/>
          <w:tblHeader/>
        </w:trPr>
        <w:tc>
          <w:tcPr>
            <w:tcW w:w="764" w:type="pct"/>
          </w:tcPr>
          <w:p w14:paraId="33BC124C" w14:textId="764817B1" w:rsidR="00277E7F" w:rsidRPr="007D0769" w:rsidRDefault="00277E7F"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1060" w:type="pct"/>
          </w:tcPr>
          <w:p w14:paraId="711C81E3" w14:textId="0A1A72F6" w:rsidR="00277E7F" w:rsidRPr="007D0769" w:rsidRDefault="00277E7F"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950" w:type="pct"/>
          </w:tcPr>
          <w:p w14:paraId="0E771A0C" w14:textId="46C1E75A" w:rsidR="00277E7F" w:rsidRPr="007D0769" w:rsidRDefault="00277E7F"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1095" w:type="pct"/>
          </w:tcPr>
          <w:p w14:paraId="47EEDA2B" w14:textId="17D53074" w:rsidR="00277E7F" w:rsidRPr="007D0769" w:rsidRDefault="00277E7F"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1132" w:type="pct"/>
          </w:tcPr>
          <w:p w14:paraId="48AF07A8" w14:textId="68B093ED" w:rsidR="00277E7F" w:rsidRPr="007D0769" w:rsidRDefault="00277E7F"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1B2809" w:rsidRPr="00AC243A" w14:paraId="0E6B46E8" w14:textId="77777777" w:rsidTr="00EC51AB">
        <w:trPr>
          <w:trHeight w:val="360"/>
          <w:tblHeader/>
        </w:trPr>
        <w:tc>
          <w:tcPr>
            <w:tcW w:w="764" w:type="pct"/>
            <w:shd w:val="clear" w:color="auto" w:fill="auto"/>
          </w:tcPr>
          <w:p w14:paraId="1E93F408" w14:textId="537A566C" w:rsidR="00277E7F" w:rsidRPr="007D0769" w:rsidRDefault="004A08EB">
            <w:pPr>
              <w:jc w:val="center"/>
              <w:textAlignment w:val="baseline"/>
              <w:rPr>
                <w:rFonts w:eastAsia="Times New Roman" w:cs="Arial"/>
                <w:b/>
                <w:bCs/>
                <w:szCs w:val="16"/>
              </w:rPr>
            </w:pPr>
            <w:r w:rsidRPr="00ED172B">
              <w:rPr>
                <w:rFonts w:cs="Arial"/>
                <w:color w:val="000000" w:themeColor="text1"/>
                <w:szCs w:val="16"/>
              </w:rPr>
              <w:t>34</w:t>
            </w:r>
          </w:p>
        </w:tc>
        <w:tc>
          <w:tcPr>
            <w:tcW w:w="1060" w:type="pct"/>
            <w:shd w:val="clear" w:color="auto" w:fill="auto"/>
          </w:tcPr>
          <w:p w14:paraId="2D05A0DD" w14:textId="63E227B6" w:rsidR="00277E7F" w:rsidRPr="007D0769" w:rsidRDefault="004152EB">
            <w:pPr>
              <w:ind w:left="45" w:right="77"/>
              <w:jc w:val="center"/>
              <w:textAlignment w:val="baseline"/>
              <w:rPr>
                <w:rFonts w:eastAsia="Times New Roman" w:cs="Arial"/>
                <w:b/>
                <w:bCs/>
                <w:szCs w:val="16"/>
              </w:rPr>
            </w:pPr>
            <w:r>
              <w:rPr>
                <w:rFonts w:eastAsia="Times New Roman" w:cs="Arial"/>
                <w:szCs w:val="16"/>
              </w:rPr>
              <w:t>0</w:t>
            </w:r>
          </w:p>
        </w:tc>
        <w:tc>
          <w:tcPr>
            <w:tcW w:w="950" w:type="pct"/>
            <w:shd w:val="clear" w:color="auto" w:fill="auto"/>
          </w:tcPr>
          <w:p w14:paraId="4BF8FC7A" w14:textId="5A2F7DDE" w:rsidR="00277E7F" w:rsidRPr="007D0769" w:rsidRDefault="004A08EB">
            <w:pPr>
              <w:jc w:val="center"/>
              <w:textAlignment w:val="baseline"/>
              <w:rPr>
                <w:rFonts w:eastAsia="Times New Roman" w:cs="Arial"/>
                <w:b/>
                <w:bCs/>
                <w:szCs w:val="16"/>
              </w:rPr>
            </w:pPr>
            <w:r w:rsidRPr="00ED172B">
              <w:rPr>
                <w:rFonts w:cs="Arial"/>
                <w:color w:val="000000" w:themeColor="text1"/>
                <w:szCs w:val="16"/>
              </w:rPr>
              <w:t>34</w:t>
            </w:r>
          </w:p>
        </w:tc>
        <w:tc>
          <w:tcPr>
            <w:tcW w:w="1095" w:type="pct"/>
            <w:shd w:val="clear" w:color="auto" w:fill="auto"/>
          </w:tcPr>
          <w:p w14:paraId="29FAA505" w14:textId="25891110" w:rsidR="00277E7F" w:rsidRPr="007D0769" w:rsidRDefault="004152EB">
            <w:pPr>
              <w:jc w:val="center"/>
              <w:textAlignment w:val="baseline"/>
              <w:rPr>
                <w:rFonts w:eastAsia="Times New Roman" w:cs="Arial"/>
                <w:b/>
                <w:bCs/>
                <w:szCs w:val="16"/>
              </w:rPr>
            </w:pPr>
            <w:r>
              <w:rPr>
                <w:rFonts w:eastAsia="Times New Roman" w:cs="Arial"/>
                <w:szCs w:val="16"/>
              </w:rPr>
              <w:t>0</w:t>
            </w:r>
          </w:p>
        </w:tc>
        <w:tc>
          <w:tcPr>
            <w:tcW w:w="1132" w:type="pct"/>
            <w:shd w:val="clear" w:color="auto" w:fill="auto"/>
          </w:tcPr>
          <w:p w14:paraId="0E441968" w14:textId="08043E5D" w:rsidR="00277E7F" w:rsidRPr="00727602" w:rsidRDefault="002E61D5" w:rsidP="00AC243A">
            <w:pPr>
              <w:jc w:val="center"/>
              <w:textAlignment w:val="baseline"/>
              <w:rPr>
                <w:rFonts w:eastAsia="Times New Roman" w:cs="Arial"/>
                <w:szCs w:val="16"/>
              </w:rPr>
            </w:pPr>
            <w:r w:rsidRPr="00727602">
              <w:rPr>
                <w:rFonts w:eastAsia="Times New Roman" w:cs="Arial"/>
                <w:szCs w:val="16"/>
              </w:rPr>
              <w:t>0</w:t>
            </w:r>
          </w:p>
        </w:tc>
      </w:tr>
    </w:tbl>
    <w:p w14:paraId="4B085A27" w14:textId="77777777" w:rsidR="00277E7F" w:rsidRPr="00727602" w:rsidRDefault="00277E7F" w:rsidP="00277E7F">
      <w:pPr>
        <w:rPr>
          <w:rFonts w:eastAsia="Calibri" w:cs="Arial"/>
          <w:b/>
          <w:szCs w:val="16"/>
        </w:rPr>
      </w:pPr>
    </w:p>
    <w:p w14:paraId="47B178D2" w14:textId="687E1D0B" w:rsidR="005369EB" w:rsidRDefault="005369EB" w:rsidP="005369EB">
      <w:pPr>
        <w:keepNext/>
        <w:spacing w:after="0"/>
        <w:rPr>
          <w:rFonts w:eastAsia="Times New Roman" w:cs="Arial"/>
          <w:b/>
          <w:szCs w:val="16"/>
        </w:rPr>
      </w:pPr>
      <w:r w:rsidRPr="00E3228B">
        <w:rPr>
          <w:rFonts w:eastAsia="Times New Roman" w:cs="Arial"/>
          <w:b/>
          <w:szCs w:val="16"/>
        </w:rPr>
        <w:t xml:space="preserve">Please explain any differences in the number of findings reported in this data table and the number of findings reported in Indicator 1 due to various factors (e.g., additional findings related to other IDEA requirements). </w:t>
      </w:r>
    </w:p>
    <w:p w14:paraId="79C67AF2" w14:textId="46464C61" w:rsidR="00A51008" w:rsidRPr="00F7607B" w:rsidRDefault="00A51008" w:rsidP="005369EB">
      <w:pPr>
        <w:keepNext/>
        <w:spacing w:after="0"/>
        <w:rPr>
          <w:rFonts w:eastAsia="Times New Roman" w:cs="Arial"/>
          <w:bCs/>
          <w:szCs w:val="16"/>
        </w:rPr>
      </w:pPr>
    </w:p>
    <w:p w14:paraId="1A776A61" w14:textId="3ACB1101" w:rsidR="00277E7F" w:rsidRPr="007D0769" w:rsidRDefault="00277E7F" w:rsidP="00277E7F">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69102369" w14:textId="5211AF02" w:rsidR="00DE79BF" w:rsidRDefault="00277E7F" w:rsidP="00DE79BF">
      <w:pPr>
        <w:rPr>
          <w:rFonts w:eastAsia="Calibri" w:cs="Arial"/>
          <w:szCs w:val="16"/>
        </w:rPr>
      </w:pPr>
      <w:r>
        <w:rPr>
          <w:rFonts w:eastAsia="Calibri" w:cs="Arial"/>
          <w:szCs w:val="16"/>
        </w:rPr>
        <w:t>There were 34 findings of noncompliance for services not being provided in a timely manner. The findings were under corrective action through a jointly developed Corrective Action Plan (CAP) between the Early Intervention Services (EIS) agency and the EarlySteps Regional Coordinator. For the 34 cases of noncompliance, each finding was reviewed with each specific Family Support Coordination (FSC) agency that received a finding as part of the notice of findings letter, and individual agency-specific CAPs were developed to address the finding and compliance with Indicator 1 regulatory requirements. Each specific FSC agency with a finding and the Regional Coordinator established an “end date” on the CAP based on the level of need and time to implement correction. Following the end date of the CAP, follow-up monitoring was conducted by the Regional Coordinator through IFSP and service billing reviews using the report of service dates for IFSPs written during the next quarter following completion of the CAP end date. The state reviewed pertinent data and verified that each FSC was correctly implementing the regulatory requirements at 100% performance.</w:t>
      </w:r>
    </w:p>
    <w:p w14:paraId="54D56245" w14:textId="77777777" w:rsidR="006B5AEF" w:rsidRPr="007D0769" w:rsidRDefault="006B5AEF" w:rsidP="006B5AEF">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0B6AFFEF" w14:textId="4893E541" w:rsidR="006B5AEF" w:rsidRDefault="002E61D5" w:rsidP="00DE79BF">
      <w:pPr>
        <w:rPr>
          <w:rFonts w:eastAsia="Calibri" w:cs="Arial"/>
          <w:szCs w:val="16"/>
        </w:rPr>
      </w:pPr>
      <w:r>
        <w:rPr>
          <w:rFonts w:eastAsia="Calibri" w:cs="Arial"/>
          <w:szCs w:val="16"/>
        </w:rPr>
        <w:t xml:space="preserve">The Early Intervention Data System (EIDS) is used to generate a data report to monitor Indicator 1.  The data report provided the service start dates for IFSPs written during Quarter 1. For each of the 34 individual cases of noncompliance, the Regional Coordinator reviewed and monitored multiple data sources including IFSPs and service start dates, as well as provided technical assistance and training related to Indicator 1. Service start dates were compared with service billing dates to verify that each service was initiated.  The state reviewed the data to verify that each individual case of noncompliance was corrected and children received services, although late. Also, the state reviewed documentation that the agency contacted the family and the provider within 2 weeks after IFSP to ensure supports were delivered within 30 days, the state reviewed documentation/agency sign-in log that the staff was trained on indicator 1 timely services and that it was discussed during weekly staff supervision sessions.  </w:t>
      </w:r>
    </w:p>
    <w:p w14:paraId="1FFBEB9C" w14:textId="77777777" w:rsidR="00EA0734" w:rsidRDefault="00EA0734" w:rsidP="00AC243A">
      <w:pPr>
        <w:spacing w:after="0"/>
        <w:textAlignment w:val="baseline"/>
        <w:rPr>
          <w:rFonts w:eastAsia="Times New Roman" w:cs="Arial"/>
          <w:b/>
          <w:bCs/>
          <w:szCs w:val="16"/>
        </w:rPr>
      </w:pPr>
    </w:p>
    <w:p w14:paraId="7CD40DD0" w14:textId="7DCC418E" w:rsidR="00AC243A" w:rsidRPr="007D0769" w:rsidRDefault="00AC243A" w:rsidP="00AC243A">
      <w:pPr>
        <w:spacing w:after="0"/>
        <w:textAlignment w:val="baseline"/>
        <w:rPr>
          <w:rFonts w:eastAsia="Times New Roman" w:cs="Arial"/>
          <w:b/>
          <w:bCs/>
          <w:szCs w:val="16"/>
        </w:rPr>
      </w:pPr>
      <w:r w:rsidRPr="007D0769">
        <w:rPr>
          <w:rFonts w:eastAsia="Times New Roman" w:cs="Arial"/>
          <w:b/>
          <w:bCs/>
          <w:szCs w:val="16"/>
        </w:rPr>
        <w:t>Indicator 7. Percent of eligible infants and toddlers with IFSPs for whom initial evaluation, initial assessment, and the initial IFSP meeting were conducted within Part C’s 45-day timeline. (20 U.S.C. 1416(a)(3)(B) and 1442)</w:t>
      </w:r>
    </w:p>
    <w:p w14:paraId="607F1D9D" w14:textId="50BA7924" w:rsidR="00AC243A" w:rsidRPr="007D0769" w:rsidRDefault="00AC243A" w:rsidP="00AC243A">
      <w:pPr>
        <w:spacing w:after="0"/>
        <w:textAlignment w:val="baseline"/>
        <w:rPr>
          <w:rFonts w:eastAsia="Times New Roman" w:cs="Arial"/>
          <w:szCs w:val="16"/>
        </w:rPr>
      </w:pPr>
      <w:r w:rsidRPr="007D0769">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C12FONC07"/>
      </w:tblPr>
      <w:tblGrid>
        <w:gridCol w:w="2158"/>
        <w:gridCol w:w="2158"/>
        <w:gridCol w:w="2158"/>
        <w:gridCol w:w="2158"/>
        <w:gridCol w:w="2158"/>
      </w:tblGrid>
      <w:tr w:rsidR="00684786" w:rsidRPr="007D0769" w14:paraId="07E3FBE8" w14:textId="77777777" w:rsidTr="00EC51AB">
        <w:trPr>
          <w:trHeight w:val="360"/>
          <w:tblHeader/>
        </w:trPr>
        <w:tc>
          <w:tcPr>
            <w:tcW w:w="2158" w:type="dxa"/>
          </w:tcPr>
          <w:p w14:paraId="20909D5F" w14:textId="62F4A62B" w:rsidR="00AC243A" w:rsidRPr="007D0769" w:rsidRDefault="00AC243A"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6F032FE3" w14:textId="1695FA9E" w:rsidR="00AC243A" w:rsidRPr="007D0769" w:rsidRDefault="00AC243A"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063A3895" w14:textId="5E979B68" w:rsidR="00AC243A" w:rsidRPr="007D0769" w:rsidRDefault="00AC243A"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53B5CF4B" w14:textId="7931D22C" w:rsidR="00AC243A" w:rsidRPr="007D0769" w:rsidRDefault="00AC243A"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6EA70A4E" w14:textId="0758E9AF" w:rsidR="00AC243A" w:rsidRPr="007D0769" w:rsidRDefault="00AC243A"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684786" w:rsidRPr="00755D89" w14:paraId="60751CB2" w14:textId="77777777" w:rsidTr="00EC51AB">
        <w:trPr>
          <w:trHeight w:val="360"/>
          <w:tblHeader/>
        </w:trPr>
        <w:tc>
          <w:tcPr>
            <w:tcW w:w="2158" w:type="dxa"/>
            <w:shd w:val="clear" w:color="auto" w:fill="auto"/>
          </w:tcPr>
          <w:p w14:paraId="46385BA0" w14:textId="272A2883" w:rsidR="00AC243A" w:rsidRPr="007D0769" w:rsidRDefault="00AC243A">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14:paraId="7B1FEE6D" w14:textId="511033E0" w:rsidR="00AC243A" w:rsidRPr="007D0769" w:rsidRDefault="00AC243A">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130ABB9E" w14:textId="0B724652" w:rsidR="00AC243A" w:rsidRPr="007D0769" w:rsidRDefault="00AC243A">
            <w:pPr>
              <w:jc w:val="center"/>
              <w:textAlignment w:val="baseline"/>
              <w:rPr>
                <w:rFonts w:eastAsia="Times New Roman" w:cs="Arial"/>
                <w:b/>
                <w:bCs/>
                <w:szCs w:val="16"/>
              </w:rPr>
            </w:pPr>
          </w:p>
        </w:tc>
        <w:tc>
          <w:tcPr>
            <w:tcW w:w="2158" w:type="dxa"/>
            <w:shd w:val="clear" w:color="auto" w:fill="auto"/>
          </w:tcPr>
          <w:p w14:paraId="1DCC6528" w14:textId="5DF60985" w:rsidR="00AC243A" w:rsidRPr="007D0769" w:rsidRDefault="00AC243A">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45517151" w14:textId="1656151C" w:rsidR="00AC243A" w:rsidRPr="00755D89" w:rsidRDefault="00AC243A">
            <w:pPr>
              <w:jc w:val="center"/>
              <w:textAlignment w:val="baseline"/>
              <w:rPr>
                <w:rFonts w:eastAsia="Times New Roman" w:cs="Arial"/>
                <w:szCs w:val="16"/>
              </w:rPr>
            </w:pPr>
            <w:r w:rsidRPr="00755D89">
              <w:rPr>
                <w:rFonts w:eastAsia="Times New Roman" w:cs="Arial"/>
                <w:szCs w:val="16"/>
              </w:rPr>
              <w:t>0</w:t>
            </w:r>
          </w:p>
        </w:tc>
      </w:tr>
    </w:tbl>
    <w:p w14:paraId="07DAC491" w14:textId="77777777" w:rsidR="00AC243A" w:rsidRPr="00755D89" w:rsidRDefault="00AC243A" w:rsidP="00AC243A">
      <w:pPr>
        <w:rPr>
          <w:rFonts w:eastAsia="Calibri" w:cs="Arial"/>
          <w:b/>
          <w:szCs w:val="16"/>
        </w:rPr>
      </w:pPr>
    </w:p>
    <w:p w14:paraId="00513726" w14:textId="79099040" w:rsidR="00E51A59" w:rsidRDefault="00E51A59" w:rsidP="00E51A59">
      <w:pPr>
        <w:keepNext/>
        <w:spacing w:after="0"/>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7 due to various factors (e.g., additional findings related to other IDEA requirements).</w:t>
      </w:r>
    </w:p>
    <w:p w14:paraId="5A1391CE" w14:textId="63EBC11F" w:rsidR="00A51008" w:rsidRPr="00F7607B" w:rsidRDefault="00A51008" w:rsidP="00E51A59">
      <w:pPr>
        <w:keepNext/>
        <w:spacing w:after="0"/>
        <w:rPr>
          <w:rFonts w:eastAsia="Times New Roman" w:cs="Arial"/>
          <w:bCs/>
          <w:szCs w:val="16"/>
        </w:rPr>
      </w:pPr>
    </w:p>
    <w:p w14:paraId="6EB3915D" w14:textId="4ACC8487" w:rsidR="00AC243A" w:rsidRPr="007D0769" w:rsidRDefault="00AC243A" w:rsidP="00AC243A">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79DCA0CE" w14:textId="44974603" w:rsidR="00AC243A" w:rsidRDefault="00AC243A" w:rsidP="00AC243A">
      <w:pPr>
        <w:rPr>
          <w:rFonts w:eastAsia="Calibri" w:cs="Arial"/>
          <w:szCs w:val="16"/>
        </w:rPr>
      </w:pPr>
    </w:p>
    <w:p w14:paraId="20120123" w14:textId="77777777" w:rsidR="00AC243A" w:rsidRPr="007D0769" w:rsidRDefault="00AC243A" w:rsidP="00AC243A">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6DC270C2" w14:textId="38E49C10" w:rsidR="00AC243A" w:rsidRDefault="00AC243A" w:rsidP="00AC243A">
      <w:pPr>
        <w:rPr>
          <w:rFonts w:eastAsia="Calibri" w:cs="Arial"/>
          <w:szCs w:val="16"/>
        </w:rPr>
      </w:pPr>
    </w:p>
    <w:p w14:paraId="28FE8A3F" w14:textId="77777777" w:rsidR="008D36D9" w:rsidRDefault="008D36D9" w:rsidP="005B5A95">
      <w:pPr>
        <w:spacing w:after="0"/>
        <w:textAlignment w:val="baseline"/>
        <w:rPr>
          <w:rFonts w:eastAsia="Times New Roman" w:cs="Arial"/>
          <w:b/>
          <w:bCs/>
          <w:szCs w:val="16"/>
        </w:rPr>
      </w:pPr>
    </w:p>
    <w:p w14:paraId="2F81D356" w14:textId="590B7E71" w:rsidR="005B5A95" w:rsidRPr="007D0769" w:rsidRDefault="005B5A95" w:rsidP="005B5A95">
      <w:pPr>
        <w:spacing w:after="0"/>
        <w:textAlignment w:val="baseline"/>
        <w:rPr>
          <w:rFonts w:eastAsia="Times New Roman" w:cs="Arial"/>
          <w:b/>
          <w:bCs/>
          <w:szCs w:val="16"/>
        </w:rPr>
      </w:pPr>
      <w:r w:rsidRPr="007D0769">
        <w:rPr>
          <w:rFonts w:eastAsia="Times New Roman" w:cs="Arial"/>
          <w:b/>
          <w:bCs/>
          <w:szCs w:val="16"/>
        </w:rPr>
        <w:t>Indicator 8A. The percentage of toddlers with disabilities exiting Part C with timely transition planning for whom the Lead Agency has:</w:t>
      </w:r>
    </w:p>
    <w:p w14:paraId="22955F37" w14:textId="77777777" w:rsidR="005B5A95" w:rsidRPr="007D0769" w:rsidRDefault="005B5A95" w:rsidP="005B5A95">
      <w:pPr>
        <w:spacing w:after="0"/>
        <w:textAlignment w:val="baseline"/>
        <w:rPr>
          <w:rFonts w:eastAsia="Times New Roman" w:cs="Arial"/>
          <w:b/>
          <w:bCs/>
          <w:szCs w:val="16"/>
        </w:rPr>
      </w:pPr>
      <w:r w:rsidRPr="007D0769">
        <w:rPr>
          <w:rFonts w:eastAsia="Times New Roman" w:cs="Arial"/>
          <w:b/>
          <w:bCs/>
          <w:szCs w:val="16"/>
        </w:rPr>
        <w:t>A. Developed an IFSP with transition steps and services at least 90 days (and, at the discretion of all parties, not more than nine months) prior to the toddler’s third birthday. (20 U.S.C. 1416(a)(3)(B) and 1442).</w:t>
      </w:r>
    </w:p>
    <w:p w14:paraId="577273B5" w14:textId="244D990E" w:rsidR="005B5A95" w:rsidRPr="007D0769" w:rsidRDefault="005B5A95" w:rsidP="005B5A95">
      <w:pPr>
        <w:spacing w:after="0"/>
        <w:textAlignment w:val="baseline"/>
        <w:rPr>
          <w:rFonts w:eastAsia="Times New Roman" w:cs="Arial"/>
          <w:szCs w:val="16"/>
        </w:rPr>
      </w:pPr>
      <w:r w:rsidRPr="007D0769">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C12FONC08A"/>
      </w:tblPr>
      <w:tblGrid>
        <w:gridCol w:w="2158"/>
        <w:gridCol w:w="2158"/>
        <w:gridCol w:w="2158"/>
        <w:gridCol w:w="2158"/>
        <w:gridCol w:w="2158"/>
      </w:tblGrid>
      <w:tr w:rsidR="005B5A95" w:rsidRPr="007D0769" w14:paraId="54F308A6" w14:textId="77777777" w:rsidTr="00EC51AB">
        <w:trPr>
          <w:trHeight w:val="360"/>
          <w:tblHeader/>
        </w:trPr>
        <w:tc>
          <w:tcPr>
            <w:tcW w:w="2158" w:type="dxa"/>
          </w:tcPr>
          <w:p w14:paraId="4F16C5B7" w14:textId="5144E4DB" w:rsidR="005B5A95" w:rsidRPr="007D0769" w:rsidRDefault="005B5A95"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57928966" w14:textId="2317F73A" w:rsidR="005B5A95" w:rsidRPr="007D0769" w:rsidRDefault="005B5A95"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4A7224AE" w14:textId="5B0C78CD" w:rsidR="005B5A95" w:rsidRPr="007D0769" w:rsidRDefault="005B5A95"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55A6E978" w14:textId="0883491C" w:rsidR="005B5A95" w:rsidRPr="007D0769" w:rsidRDefault="005B5A95"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5AAA5E5D" w14:textId="2F987B95" w:rsidR="005B5A95" w:rsidRPr="007D0769" w:rsidRDefault="005B5A95"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5B5A95" w:rsidRPr="00755D89" w14:paraId="6D712275" w14:textId="77777777" w:rsidTr="00EC51AB">
        <w:trPr>
          <w:trHeight w:val="360"/>
          <w:tblHeader/>
        </w:trPr>
        <w:tc>
          <w:tcPr>
            <w:tcW w:w="2158" w:type="dxa"/>
            <w:shd w:val="clear" w:color="auto" w:fill="auto"/>
          </w:tcPr>
          <w:p w14:paraId="0A9FB39B" w14:textId="278FFD43" w:rsidR="005B5A95" w:rsidRPr="007D0769" w:rsidRDefault="005B5A95">
            <w:pPr>
              <w:jc w:val="center"/>
              <w:textAlignment w:val="baseline"/>
              <w:rPr>
                <w:rFonts w:eastAsia="Times New Roman" w:cs="Arial"/>
                <w:b/>
                <w:bCs/>
                <w:szCs w:val="16"/>
              </w:rPr>
            </w:pPr>
            <w:r w:rsidRPr="00ED172B">
              <w:rPr>
                <w:rFonts w:cs="Arial"/>
                <w:color w:val="000000" w:themeColor="text1"/>
                <w:szCs w:val="16"/>
              </w:rPr>
              <w:t>32</w:t>
            </w:r>
          </w:p>
        </w:tc>
        <w:tc>
          <w:tcPr>
            <w:tcW w:w="2158" w:type="dxa"/>
            <w:shd w:val="clear" w:color="auto" w:fill="auto"/>
          </w:tcPr>
          <w:p w14:paraId="2BB9F8FB" w14:textId="2D14885E" w:rsidR="005B5A95" w:rsidRPr="007D0769" w:rsidRDefault="005B5A95">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18918D74" w14:textId="7283EB7D" w:rsidR="005B5A95" w:rsidRPr="007D0769" w:rsidRDefault="005B5A95">
            <w:pPr>
              <w:jc w:val="center"/>
              <w:textAlignment w:val="baseline"/>
              <w:rPr>
                <w:rFonts w:eastAsia="Times New Roman" w:cs="Arial"/>
                <w:b/>
                <w:bCs/>
                <w:szCs w:val="16"/>
              </w:rPr>
            </w:pPr>
            <w:r w:rsidRPr="00ED172B">
              <w:rPr>
                <w:rFonts w:cs="Arial"/>
                <w:color w:val="000000" w:themeColor="text1"/>
                <w:szCs w:val="16"/>
              </w:rPr>
              <w:t>32</w:t>
            </w:r>
          </w:p>
        </w:tc>
        <w:tc>
          <w:tcPr>
            <w:tcW w:w="2158" w:type="dxa"/>
            <w:shd w:val="clear" w:color="auto" w:fill="auto"/>
          </w:tcPr>
          <w:p w14:paraId="22EC4D92" w14:textId="642DCD0A" w:rsidR="005B5A95" w:rsidRPr="007D0769" w:rsidRDefault="005B5A95">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5E6896E1" w14:textId="520CD455" w:rsidR="005B5A95" w:rsidRPr="00755D89" w:rsidRDefault="005B5A95">
            <w:pPr>
              <w:jc w:val="center"/>
              <w:textAlignment w:val="baseline"/>
              <w:rPr>
                <w:rFonts w:eastAsia="Times New Roman" w:cs="Arial"/>
                <w:szCs w:val="16"/>
              </w:rPr>
            </w:pPr>
            <w:r w:rsidRPr="00755D89">
              <w:rPr>
                <w:rFonts w:eastAsia="Times New Roman" w:cs="Arial"/>
                <w:szCs w:val="16"/>
              </w:rPr>
              <w:t>0</w:t>
            </w:r>
          </w:p>
        </w:tc>
      </w:tr>
    </w:tbl>
    <w:p w14:paraId="2843D1D9" w14:textId="77777777" w:rsidR="005B5A95" w:rsidRPr="00755D89" w:rsidRDefault="005B5A95" w:rsidP="005B5A95">
      <w:pPr>
        <w:rPr>
          <w:rFonts w:eastAsia="Calibri" w:cs="Arial"/>
          <w:b/>
          <w:szCs w:val="16"/>
        </w:rPr>
      </w:pPr>
    </w:p>
    <w:p w14:paraId="375EA3B5" w14:textId="07C9D6C1" w:rsidR="004650EA" w:rsidRDefault="004650EA" w:rsidP="004650EA">
      <w:pPr>
        <w:keepNext/>
        <w:spacing w:after="0"/>
        <w:rPr>
          <w:rFonts w:eastAsia="Times New Roman" w:cs="Arial"/>
          <w:b/>
          <w:szCs w:val="16"/>
        </w:rPr>
      </w:pPr>
      <w:r w:rsidRPr="00757561">
        <w:rPr>
          <w:rFonts w:eastAsia="Times New Roman" w:cs="Arial"/>
          <w:b/>
          <w:szCs w:val="16"/>
        </w:rPr>
        <w:lastRenderedPageBreak/>
        <w:t>Please explain any differences in the number of findings reported in this data table and the number of findings reported in Indicator 8A due to various factors (e.g., additional findings related to other IDEA requirements).</w:t>
      </w:r>
    </w:p>
    <w:p w14:paraId="44BB1CD0" w14:textId="0696D1F4" w:rsidR="004650EA" w:rsidRPr="00FF3A04" w:rsidRDefault="004650EA" w:rsidP="004650EA">
      <w:pPr>
        <w:keepNext/>
        <w:spacing w:after="0"/>
        <w:rPr>
          <w:rFonts w:eastAsia="Times New Roman" w:cs="Arial"/>
          <w:bCs/>
          <w:szCs w:val="16"/>
        </w:rPr>
      </w:pPr>
    </w:p>
    <w:p w14:paraId="4CD648AC" w14:textId="76F2B474" w:rsidR="005B5A95" w:rsidRPr="007D0769" w:rsidRDefault="005B5A95" w:rsidP="005B5A95">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53AEDC54" w14:textId="7E87CB41" w:rsidR="005B5A95" w:rsidRDefault="005B5A95" w:rsidP="005B5A95">
      <w:pPr>
        <w:rPr>
          <w:rFonts w:eastAsia="Calibri" w:cs="Arial"/>
          <w:szCs w:val="16"/>
        </w:rPr>
      </w:pPr>
      <w:r>
        <w:rPr>
          <w:rFonts w:eastAsia="Calibri" w:cs="Arial"/>
          <w:szCs w:val="16"/>
        </w:rPr>
        <w:t>The Part C state team met and discussed data analysis for transition steps and services to ensure consistency in the monitoring process. EarlySteps staff have added improvement activities during regional interagency coordinating council meetings, during regular meetings with intake and family support coordinator agencies, during statewide quarterly meetings with Part C Coordinator, during Transition Workshops held with Families Helping Families, and through technical assistance e-mails with reminders from the EarlySteps practice manual. The EIDS Transition Report and chart review were used to verify that IFSPs included transition steps and services were completed. Regional Coordinators reviewed data, conducted chart review, and contacted LEAs and families to verify that transition occurred. For the 32 findings issued, written notification of the findings was issued to the FSC agencies and corrective action plans were developed. The Regional Coordinator conducted follow up monitoring of at least 10% of subsequent files for each agency using the Transition Report and chart review to verify that subsequent IFSPs included transition steps and services. The state reviewed pertinent data and verified that all FSCs with a finding of noncompliance were correctly implementing the regulatory requirements at 100% performance within one year of issuing the finding.</w:t>
      </w:r>
    </w:p>
    <w:p w14:paraId="7647674B" w14:textId="77777777" w:rsidR="005B5A95" w:rsidRPr="007D0769" w:rsidRDefault="005B5A95" w:rsidP="005B5A95">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2C528DDA" w14:textId="1018C91C" w:rsidR="005B5A95" w:rsidRDefault="005B5A95" w:rsidP="005B5A95">
      <w:pPr>
        <w:rPr>
          <w:rFonts w:eastAsia="Calibri" w:cs="Arial"/>
          <w:szCs w:val="16"/>
        </w:rPr>
      </w:pPr>
      <w:r>
        <w:rPr>
          <w:rFonts w:eastAsia="Calibri" w:cs="Arial"/>
          <w:szCs w:val="16"/>
        </w:rPr>
        <w:t>The Part C state team met and discussed data analysis for transition steps and services to ensure consistency in the monitoring process. Through monitoring for Indicator 8a performance, Regional Coordinator reviewed the transition status for each child for whom the IFSP did not include steps and services. Additionally a chart review by the Regional Coordinator, verified that each child had IFSPs with transition steps and service. The state reviewed pertinent data to verify that the 19 children had IFSPs with transition steps and service, although late.</w:t>
      </w:r>
    </w:p>
    <w:p w14:paraId="048E9EA5" w14:textId="77777777" w:rsidR="008D36D9" w:rsidRDefault="008D36D9" w:rsidP="00DE12DF">
      <w:pPr>
        <w:spacing w:after="0"/>
        <w:textAlignment w:val="baseline"/>
        <w:rPr>
          <w:rFonts w:eastAsia="Times New Roman" w:cs="Arial"/>
          <w:b/>
          <w:bCs/>
          <w:szCs w:val="16"/>
        </w:rPr>
      </w:pPr>
    </w:p>
    <w:p w14:paraId="020FE753" w14:textId="5A337EA6" w:rsidR="00DE12DF" w:rsidRPr="007D0769" w:rsidRDefault="00DE12DF" w:rsidP="00DE12DF">
      <w:pPr>
        <w:spacing w:after="0"/>
        <w:textAlignment w:val="baseline"/>
        <w:rPr>
          <w:rFonts w:eastAsia="Times New Roman" w:cs="Arial"/>
          <w:b/>
          <w:bCs/>
          <w:szCs w:val="16"/>
        </w:rPr>
      </w:pPr>
      <w:r w:rsidRPr="007D0769">
        <w:rPr>
          <w:rFonts w:eastAsia="Times New Roman" w:cs="Arial"/>
          <w:b/>
          <w:bCs/>
          <w:szCs w:val="16"/>
        </w:rPr>
        <w:t>Indicator 8B. The percentage of toddlers with disabilities exiting Part C with timely transition planning for whom the Lead Agency has:</w:t>
      </w:r>
    </w:p>
    <w:p w14:paraId="372A1F7D" w14:textId="77777777" w:rsidR="00DE12DF" w:rsidRDefault="00DE12DF" w:rsidP="00DE12DF">
      <w:pPr>
        <w:spacing w:after="0"/>
        <w:textAlignment w:val="baseline"/>
        <w:rPr>
          <w:rFonts w:eastAsia="Times New Roman" w:cs="Arial"/>
          <w:b/>
          <w:bCs/>
          <w:szCs w:val="16"/>
        </w:rPr>
      </w:pPr>
      <w:r w:rsidRPr="007D0769">
        <w:rPr>
          <w:rFonts w:eastAsia="Times New Roman" w:cs="Arial"/>
          <w:b/>
          <w:bCs/>
          <w:szCs w:val="16"/>
        </w:rPr>
        <w:t>B.  Notified (consistent with any opt-out policy) the SEA and LEA where the toddler resides at least 90 days prior to the toddler’s third birthday for toddlers potentially eligible for Part B preschool services. (20 U.S.C. 1416(a)(3)(B) and 1442)</w:t>
      </w:r>
    </w:p>
    <w:p w14:paraId="5E6BD07F" w14:textId="2EDFCA40" w:rsidR="00DE12DF" w:rsidRPr="007D0769" w:rsidRDefault="00DE12DF" w:rsidP="00DE12DF">
      <w:pPr>
        <w:spacing w:after="0"/>
        <w:textAlignment w:val="baseline"/>
        <w:rPr>
          <w:rFonts w:eastAsia="Times New Roman" w:cs="Arial"/>
          <w:szCs w:val="16"/>
        </w:rPr>
      </w:pPr>
      <w:r w:rsidRPr="007D0769">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C12FONC08B"/>
      </w:tblPr>
      <w:tblGrid>
        <w:gridCol w:w="2158"/>
        <w:gridCol w:w="2158"/>
        <w:gridCol w:w="2158"/>
        <w:gridCol w:w="2158"/>
        <w:gridCol w:w="2158"/>
      </w:tblGrid>
      <w:tr w:rsidR="00DE12DF" w:rsidRPr="007D0769" w14:paraId="55B4C5A3" w14:textId="77777777" w:rsidTr="00EC51AB">
        <w:trPr>
          <w:trHeight w:val="360"/>
          <w:tblHeader/>
        </w:trPr>
        <w:tc>
          <w:tcPr>
            <w:tcW w:w="2158" w:type="dxa"/>
          </w:tcPr>
          <w:p w14:paraId="1D0A0DFE" w14:textId="6FA9CEAA"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7564F13E" w14:textId="4677D1C3" w:rsidR="00DE12DF" w:rsidRPr="007D0769" w:rsidRDefault="00DE12DF"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3E723A19" w14:textId="606A4B9D"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0A6B4459" w14:textId="68E3A99D"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6D2F96B0" w14:textId="00EED53D" w:rsidR="00DE12DF" w:rsidRPr="007D0769" w:rsidRDefault="00DE12DF"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DE12DF" w:rsidRPr="00755D89" w14:paraId="602C8741" w14:textId="77777777" w:rsidTr="00EC51AB">
        <w:trPr>
          <w:trHeight w:val="360"/>
          <w:tblHeader/>
        </w:trPr>
        <w:tc>
          <w:tcPr>
            <w:tcW w:w="2158" w:type="dxa"/>
            <w:shd w:val="clear" w:color="auto" w:fill="auto"/>
          </w:tcPr>
          <w:p w14:paraId="130EE70B" w14:textId="18199E8B" w:rsidR="00DE12DF" w:rsidRPr="007D0769" w:rsidRDefault="00DE12DF">
            <w:pPr>
              <w:jc w:val="center"/>
              <w:textAlignment w:val="baseline"/>
              <w:rPr>
                <w:rFonts w:eastAsia="Times New Roman" w:cs="Arial"/>
                <w:b/>
                <w:bCs/>
                <w:szCs w:val="16"/>
              </w:rPr>
            </w:pPr>
          </w:p>
        </w:tc>
        <w:tc>
          <w:tcPr>
            <w:tcW w:w="2158" w:type="dxa"/>
            <w:shd w:val="clear" w:color="auto" w:fill="auto"/>
          </w:tcPr>
          <w:p w14:paraId="3DC248E5" w14:textId="38A0F820" w:rsidR="00DE12DF" w:rsidRPr="007D0769" w:rsidRDefault="00DE12DF">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61733FFF" w14:textId="2F27F666" w:rsidR="00DE12DF" w:rsidRPr="007D0769" w:rsidRDefault="00DE12DF">
            <w:pPr>
              <w:jc w:val="center"/>
              <w:textAlignment w:val="baseline"/>
              <w:rPr>
                <w:rFonts w:eastAsia="Times New Roman" w:cs="Arial"/>
                <w:b/>
                <w:bCs/>
                <w:szCs w:val="16"/>
              </w:rPr>
            </w:pPr>
          </w:p>
        </w:tc>
        <w:tc>
          <w:tcPr>
            <w:tcW w:w="2158" w:type="dxa"/>
            <w:shd w:val="clear" w:color="auto" w:fill="auto"/>
          </w:tcPr>
          <w:p w14:paraId="1D6B0C6E" w14:textId="3C49875F" w:rsidR="00DE12DF" w:rsidRPr="007D0769" w:rsidRDefault="00DE12DF">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2EC895EE" w14:textId="66F25117" w:rsidR="00DE12DF" w:rsidRPr="00755D89" w:rsidRDefault="00DE12DF">
            <w:pPr>
              <w:jc w:val="center"/>
              <w:textAlignment w:val="baseline"/>
              <w:rPr>
                <w:rFonts w:eastAsia="Times New Roman" w:cs="Arial"/>
                <w:szCs w:val="16"/>
              </w:rPr>
            </w:pPr>
            <w:r w:rsidRPr="00755D89">
              <w:rPr>
                <w:rFonts w:eastAsia="Times New Roman" w:cs="Arial"/>
                <w:szCs w:val="16"/>
              </w:rPr>
              <w:t>0</w:t>
            </w:r>
          </w:p>
        </w:tc>
      </w:tr>
    </w:tbl>
    <w:p w14:paraId="20FBC410" w14:textId="77777777" w:rsidR="00641B02" w:rsidRDefault="00641B02" w:rsidP="004650EA">
      <w:pPr>
        <w:keepNext/>
        <w:spacing w:after="0"/>
        <w:rPr>
          <w:rFonts w:eastAsia="Times New Roman" w:cs="Arial"/>
          <w:b/>
          <w:szCs w:val="16"/>
        </w:rPr>
      </w:pPr>
    </w:p>
    <w:p w14:paraId="30E47E9E" w14:textId="65773988" w:rsidR="004650EA" w:rsidRDefault="004650EA" w:rsidP="004650EA">
      <w:pPr>
        <w:keepNext/>
        <w:spacing w:after="0"/>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8B due to various factors (e.g., additional findings related to other IDEA requirements).</w:t>
      </w:r>
    </w:p>
    <w:p w14:paraId="0D344A96" w14:textId="77777777" w:rsidR="006675B4" w:rsidRDefault="006675B4">
      <w:pPr>
        <w:keepNext/>
        <w:spacing w:after="0"/>
        <w:rPr>
          <w:rFonts w:eastAsia="Times New Roman" w:cs="Arial"/>
          <w:bCs/>
          <w:szCs w:val="16"/>
        </w:rPr>
      </w:pPr>
    </w:p>
    <w:p w14:paraId="6813512C" w14:textId="4877B45A" w:rsidR="00DE12DF" w:rsidRPr="007D0769" w:rsidRDefault="00DE12DF" w:rsidP="004650EA">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481DFCCB" w14:textId="0A1893D4" w:rsidR="00DE12DF" w:rsidRDefault="00DE12DF" w:rsidP="00DE12DF">
      <w:pPr>
        <w:rPr>
          <w:rFonts w:eastAsia="Calibri" w:cs="Arial"/>
          <w:szCs w:val="16"/>
        </w:rPr>
      </w:pPr>
    </w:p>
    <w:p w14:paraId="4177E298" w14:textId="77777777" w:rsidR="00DE12DF" w:rsidRPr="007D0769" w:rsidRDefault="00DE12DF" w:rsidP="00DE12DF">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2F3CBBCF" w14:textId="2D84401A" w:rsidR="00DE12DF" w:rsidRDefault="00DE12DF" w:rsidP="00DE12DF">
      <w:pPr>
        <w:rPr>
          <w:rFonts w:eastAsia="Calibri" w:cs="Arial"/>
          <w:szCs w:val="16"/>
        </w:rPr>
      </w:pPr>
    </w:p>
    <w:p w14:paraId="0A1E9D0D" w14:textId="77777777" w:rsidR="008D36D9" w:rsidRDefault="008D36D9" w:rsidP="00DE12DF">
      <w:pPr>
        <w:spacing w:after="0"/>
        <w:textAlignment w:val="baseline"/>
        <w:rPr>
          <w:rFonts w:eastAsia="Times New Roman" w:cs="Arial"/>
          <w:b/>
          <w:bCs/>
          <w:szCs w:val="16"/>
        </w:rPr>
      </w:pPr>
    </w:p>
    <w:p w14:paraId="6AA8B2EF" w14:textId="79F6BF87" w:rsidR="00DE12DF" w:rsidRPr="007D0769" w:rsidRDefault="00DE12DF" w:rsidP="00DE12DF">
      <w:pPr>
        <w:spacing w:after="0"/>
        <w:textAlignment w:val="baseline"/>
        <w:rPr>
          <w:rFonts w:eastAsia="Times New Roman" w:cs="Arial"/>
          <w:b/>
          <w:bCs/>
          <w:szCs w:val="16"/>
        </w:rPr>
      </w:pPr>
      <w:r w:rsidRPr="007D0769">
        <w:rPr>
          <w:rFonts w:eastAsia="Times New Roman" w:cs="Arial"/>
          <w:b/>
          <w:bCs/>
          <w:szCs w:val="16"/>
        </w:rPr>
        <w:t>Indicator 8C. The percentage of toddlers with disabilities exiting Part C with timely transition planning for whom the Lead Agency has:</w:t>
      </w:r>
    </w:p>
    <w:p w14:paraId="64E56DD6" w14:textId="77777777" w:rsidR="00DE12DF" w:rsidRPr="007D0769" w:rsidRDefault="00DE12DF" w:rsidP="00DE12DF">
      <w:pPr>
        <w:spacing w:after="0"/>
        <w:textAlignment w:val="baseline"/>
        <w:rPr>
          <w:rFonts w:eastAsia="Times New Roman" w:cs="Arial"/>
          <w:szCs w:val="16"/>
        </w:rPr>
      </w:pPr>
      <w:r w:rsidRPr="007D0769">
        <w:rPr>
          <w:rFonts w:eastAsia="Times New Roman" w:cs="Arial"/>
          <w:b/>
          <w:bCs/>
          <w:szCs w:val="16"/>
        </w:rPr>
        <w:t>C.  Conducted the transition conference held with the approval of the family at least 90 days (and, at the discretion of all parties, not more than nine months) prior to the toddler’s third birthday for toddlers potentially eligible for Part B preschool services. (20 U.S.C. 1416(a)(3)(B) and 1442)</w:t>
      </w:r>
      <w:r w:rsidRPr="007D0769">
        <w:rPr>
          <w:rFonts w:eastAsia="Times New Roman" w:cs="Arial"/>
          <w:szCs w:val="16"/>
        </w:rPr>
        <w:t> </w:t>
      </w:r>
    </w:p>
    <w:p w14:paraId="1B6DF746" w14:textId="0A020E1C" w:rsidR="00DE12DF" w:rsidRPr="007D0769" w:rsidRDefault="00DE12DF" w:rsidP="00DE12DF">
      <w:pPr>
        <w:spacing w:after="0"/>
        <w:textAlignment w:val="baseline"/>
        <w:rPr>
          <w:rFonts w:eastAsia="Times New Roman" w:cs="Arial"/>
          <w:szCs w:val="16"/>
        </w:rPr>
      </w:pPr>
      <w:r w:rsidRPr="007D0769">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C12FONC08C"/>
      </w:tblPr>
      <w:tblGrid>
        <w:gridCol w:w="2158"/>
        <w:gridCol w:w="2158"/>
        <w:gridCol w:w="2158"/>
        <w:gridCol w:w="2158"/>
        <w:gridCol w:w="2158"/>
      </w:tblGrid>
      <w:tr w:rsidR="00DE12DF" w:rsidRPr="007D0769" w14:paraId="2DA24872" w14:textId="77777777" w:rsidTr="00EC51AB">
        <w:trPr>
          <w:trHeight w:val="360"/>
          <w:tblHeader/>
        </w:trPr>
        <w:tc>
          <w:tcPr>
            <w:tcW w:w="2158" w:type="dxa"/>
          </w:tcPr>
          <w:p w14:paraId="66BB65F3" w14:textId="212A5E02"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2CCA6EA7" w14:textId="11F42889" w:rsidR="00DE12DF" w:rsidRPr="007D0769" w:rsidRDefault="00DE12DF" w:rsidP="00727602">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47320BEF" w14:textId="71653D6D"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419F3A42" w14:textId="53F28278"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2D338C83" w14:textId="198429CF" w:rsidR="00DE12DF" w:rsidRPr="007D0769" w:rsidRDefault="00DE12DF" w:rsidP="00727602">
            <w:pPr>
              <w:jc w:val="center"/>
              <w:textAlignment w:val="baseline"/>
              <w:rPr>
                <w:rFonts w:eastAsia="Calibri" w:cs="Arial"/>
                <w:b/>
                <w:szCs w:val="16"/>
              </w:rPr>
            </w:pPr>
            <w:r w:rsidRPr="00755D89">
              <w:rPr>
                <w:rFonts w:eastAsia="Times New Roman" w:cs="Arial"/>
                <w:b/>
                <w:bCs/>
                <w:szCs w:val="16"/>
              </w:rPr>
              <w:t>Column D: # of written findings of noncompliance from Columns A and B for which correction was not completed or timely corrected</w:t>
            </w:r>
          </w:p>
        </w:tc>
      </w:tr>
      <w:tr w:rsidR="00DE12DF" w:rsidRPr="00755D89" w14:paraId="73A6D33E" w14:textId="77777777" w:rsidTr="00EC51AB">
        <w:trPr>
          <w:trHeight w:val="360"/>
          <w:tblHeader/>
        </w:trPr>
        <w:tc>
          <w:tcPr>
            <w:tcW w:w="2158" w:type="dxa"/>
            <w:shd w:val="clear" w:color="auto" w:fill="auto"/>
          </w:tcPr>
          <w:p w14:paraId="45C2027F" w14:textId="38C26324" w:rsidR="00DE12DF" w:rsidRPr="007D0769" w:rsidRDefault="00DE12DF">
            <w:pPr>
              <w:jc w:val="center"/>
              <w:textAlignment w:val="baseline"/>
              <w:rPr>
                <w:rFonts w:eastAsia="Times New Roman" w:cs="Arial"/>
                <w:b/>
                <w:bCs/>
                <w:szCs w:val="16"/>
              </w:rPr>
            </w:pPr>
            <w:r w:rsidRPr="00ED172B">
              <w:rPr>
                <w:rFonts w:cs="Arial"/>
                <w:color w:val="000000" w:themeColor="text1"/>
                <w:szCs w:val="16"/>
              </w:rPr>
              <w:t>51</w:t>
            </w:r>
          </w:p>
        </w:tc>
        <w:tc>
          <w:tcPr>
            <w:tcW w:w="2158" w:type="dxa"/>
            <w:shd w:val="clear" w:color="auto" w:fill="auto"/>
          </w:tcPr>
          <w:p w14:paraId="3EE6AE1C" w14:textId="36F83000" w:rsidR="00DE12DF" w:rsidRPr="007D0769" w:rsidRDefault="00DE12DF">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32B23832" w14:textId="4B3504BF" w:rsidR="00DE12DF" w:rsidRPr="007D0769" w:rsidRDefault="00DE12DF" w:rsidP="00C52090">
            <w:pPr>
              <w:jc w:val="center"/>
              <w:textAlignment w:val="baseline"/>
              <w:rPr>
                <w:rFonts w:eastAsia="Times New Roman" w:cs="Arial"/>
                <w:b/>
                <w:bCs/>
                <w:szCs w:val="16"/>
              </w:rPr>
            </w:pPr>
            <w:r w:rsidRPr="00ED172B">
              <w:rPr>
                <w:rFonts w:cs="Arial"/>
                <w:color w:val="000000" w:themeColor="text1"/>
                <w:szCs w:val="16"/>
              </w:rPr>
              <w:t>51</w:t>
            </w:r>
          </w:p>
        </w:tc>
        <w:tc>
          <w:tcPr>
            <w:tcW w:w="2158" w:type="dxa"/>
            <w:shd w:val="clear" w:color="auto" w:fill="auto"/>
          </w:tcPr>
          <w:p w14:paraId="7A22AFB3" w14:textId="763F65D1" w:rsidR="00DE12DF" w:rsidRPr="007D0769" w:rsidRDefault="00DE12DF">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1FBB688E" w14:textId="3E1297A6" w:rsidR="00DE12DF" w:rsidRPr="00755D89" w:rsidRDefault="00DE12DF">
            <w:pPr>
              <w:jc w:val="center"/>
              <w:textAlignment w:val="baseline"/>
              <w:rPr>
                <w:rFonts w:eastAsia="Times New Roman" w:cs="Arial"/>
                <w:szCs w:val="16"/>
              </w:rPr>
            </w:pPr>
            <w:r w:rsidRPr="00755D89">
              <w:rPr>
                <w:rFonts w:eastAsia="Times New Roman" w:cs="Arial"/>
                <w:szCs w:val="16"/>
              </w:rPr>
              <w:t>0</w:t>
            </w:r>
          </w:p>
        </w:tc>
      </w:tr>
    </w:tbl>
    <w:p w14:paraId="42899D8F" w14:textId="77777777" w:rsidR="00641B02" w:rsidRDefault="00641B02" w:rsidP="004650EA">
      <w:pPr>
        <w:keepNext/>
        <w:spacing w:after="0"/>
        <w:rPr>
          <w:rFonts w:eastAsia="Times New Roman" w:cs="Arial"/>
          <w:b/>
          <w:szCs w:val="16"/>
        </w:rPr>
      </w:pPr>
    </w:p>
    <w:p w14:paraId="260E6FC2" w14:textId="7E44B978" w:rsidR="004650EA" w:rsidRDefault="004650EA" w:rsidP="004650EA">
      <w:pPr>
        <w:keepNext/>
        <w:spacing w:after="0"/>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8C due to various factors (e.g., additional findings related to other IDEA requirements).</w:t>
      </w:r>
    </w:p>
    <w:p w14:paraId="12E23CD9" w14:textId="23749231" w:rsidR="004650EA" w:rsidRPr="00FF3A04" w:rsidRDefault="004650EA" w:rsidP="004650EA">
      <w:pPr>
        <w:keepNext/>
        <w:spacing w:after="0"/>
        <w:rPr>
          <w:rFonts w:eastAsia="Times New Roman" w:cs="Arial"/>
          <w:bCs/>
          <w:szCs w:val="16"/>
        </w:rPr>
      </w:pPr>
    </w:p>
    <w:p w14:paraId="3A4FCA61" w14:textId="77777777" w:rsidR="00E918FF" w:rsidRPr="007D0769" w:rsidRDefault="00E918FF" w:rsidP="00E918FF">
      <w:pPr>
        <w:keepNext/>
        <w:spacing w:after="0"/>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14:paraId="261FDCF9" w14:textId="4BB82076" w:rsidR="00DE12DF" w:rsidRDefault="00DE12DF" w:rsidP="00DE12DF">
      <w:pPr>
        <w:rPr>
          <w:rFonts w:eastAsia="Calibri" w:cs="Arial"/>
          <w:szCs w:val="16"/>
        </w:rPr>
      </w:pPr>
      <w:r>
        <w:rPr>
          <w:rFonts w:eastAsia="Calibri" w:cs="Arial"/>
          <w:szCs w:val="16"/>
        </w:rPr>
        <w:t xml:space="preserve">As stated in the Indicator 8a section, the EIDS Transition Report and chart review were used for verification that transition conferences occurred within the required timelines. Regional staff review dates, conduct chart review to verify that transition conferences occurred and were timely. When conferences were not timely, staff contact LEAs and/or families to verify that transition to the LEA occurred for each child. Subsequently, those agencies are issued findings and placed under corrective action. Upon completion of the CAP, the regional staff conducted follow up monitoring with agencies using the Transition Report and chart review to verify that regulatory requirements were implemented as required to establish correction. With this review following the completion of the CAP, all agencies were meeting regulatory requirements at 100% compliance. </w:t>
      </w:r>
    </w:p>
    <w:p w14:paraId="2F6CF674" w14:textId="77777777" w:rsidR="00DE12DF" w:rsidRPr="007D0769" w:rsidRDefault="00DE12DF" w:rsidP="00DE12DF">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14:paraId="02378A40" w14:textId="5C7FEED7" w:rsidR="00DE12DF" w:rsidRDefault="00DE12DF" w:rsidP="00DE12DF">
      <w:pPr>
        <w:rPr>
          <w:rFonts w:eastAsia="Calibri" w:cs="Arial"/>
          <w:szCs w:val="16"/>
        </w:rPr>
      </w:pPr>
      <w:r>
        <w:rPr>
          <w:rFonts w:eastAsia="Calibri" w:cs="Arial"/>
          <w:szCs w:val="16"/>
        </w:rPr>
        <w:t>FSC agencies were required to submit data to verify the 51 individual cases of noncompliance had been corrected. LA Part C staff reviewed data submitted by FSC agencies in the statewide database and information in the child records, including IFSP and transition conference documentation. Of the 51 individual cases, transition conferences occurred, although late. At the time of monitoring, these children were no longer within jurisdiction of EarlySteps.</w:t>
      </w:r>
    </w:p>
    <w:p w14:paraId="328AC45F" w14:textId="77777777" w:rsidR="00DE12DF" w:rsidRPr="007D0769" w:rsidRDefault="00DE12DF" w:rsidP="00DE12DF">
      <w:pPr>
        <w:spacing w:after="0"/>
        <w:textAlignment w:val="baseline"/>
        <w:rPr>
          <w:rFonts w:eastAsia="Times New Roman" w:cs="Arial"/>
          <w:b/>
          <w:bCs/>
          <w:szCs w:val="16"/>
        </w:rPr>
      </w:pPr>
    </w:p>
    <w:p w14:paraId="5F66EECD" w14:textId="77777777" w:rsidR="00DE12DF" w:rsidRDefault="00DE12DF" w:rsidP="00DE12DF">
      <w:pPr>
        <w:rPr>
          <w:rFonts w:eastAsia="Calibri" w:cs="Arial"/>
          <w:b/>
          <w:i/>
          <w:iCs/>
          <w:szCs w:val="16"/>
        </w:rPr>
      </w:pPr>
      <w:r>
        <w:rPr>
          <w:rFonts w:eastAsia="Calibri" w:cs="Arial"/>
          <w:b/>
          <w:i/>
          <w:iCs/>
          <w:szCs w:val="16"/>
        </w:rPr>
        <w:t xml:space="preserve">Optional for FFY 2023, 2024, and 2025: </w:t>
      </w:r>
    </w:p>
    <w:p w14:paraId="0AE408B1" w14:textId="77777777" w:rsidR="00DE12DF" w:rsidRPr="00E1308A" w:rsidRDefault="00DE12DF" w:rsidP="00DE12DF">
      <w:pPr>
        <w:rPr>
          <w:rFonts w:eastAsia="Calibri" w:cs="Arial"/>
          <w:b/>
          <w:i/>
          <w:iCs/>
          <w:szCs w:val="16"/>
        </w:rPr>
      </w:pPr>
      <w:r>
        <w:rPr>
          <w:rFonts w:eastAsia="Calibri" w:cs="Arial"/>
          <w:b/>
          <w:i/>
          <w:iCs/>
          <w:szCs w:val="16"/>
        </w:rPr>
        <w:t xml:space="preserve">Other Areas - All other findings: States may report here on all other findings of noncompliance that were not reported under the compliance indicators listed above (e.g., Results indicators (including related requirements), Fiscal, Dispute Resolution, etc.). </w:t>
      </w:r>
    </w:p>
    <w:p w14:paraId="692E1616" w14:textId="77777777" w:rsidR="00DE12DF" w:rsidRDefault="00DE12DF" w:rsidP="00DE12DF">
      <w:pPr>
        <w:rPr>
          <w:rFonts w:eastAsia="Calibri" w:cs="Arial"/>
          <w:b/>
          <w:i/>
          <w:iCs/>
          <w:szCs w:val="16"/>
        </w:rPr>
      </w:pPr>
    </w:p>
    <w:tbl>
      <w:tblPr>
        <w:tblStyle w:val="TableGrid"/>
        <w:tblW w:w="8725" w:type="dxa"/>
        <w:tblLayout w:type="fixed"/>
        <w:tblLook w:val="04A0" w:firstRow="1" w:lastRow="0" w:firstColumn="1" w:lastColumn="0" w:noHBand="0" w:noVBand="1"/>
        <w:tblCaption w:val="C12FONOTH"/>
      </w:tblPr>
      <w:tblGrid>
        <w:gridCol w:w="2682"/>
        <w:gridCol w:w="2983"/>
        <w:gridCol w:w="3060"/>
      </w:tblGrid>
      <w:tr w:rsidR="00DE12DF" w:rsidRPr="007D0769" w14:paraId="3C17FBCD" w14:textId="77777777" w:rsidTr="00EC51AB">
        <w:trPr>
          <w:trHeight w:val="360"/>
          <w:tblHeader/>
        </w:trPr>
        <w:tc>
          <w:tcPr>
            <w:tcW w:w="2682" w:type="dxa"/>
          </w:tcPr>
          <w:p w14:paraId="5D8D762D" w14:textId="41E59314"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B:</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983" w:type="dxa"/>
          </w:tcPr>
          <w:p w14:paraId="48F1B599" w14:textId="2EC240A9" w:rsidR="00DE12DF" w:rsidRPr="007D0769" w:rsidRDefault="00DE12DF" w:rsidP="00727602">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EE04D0">
              <w:rPr>
                <w:rFonts w:eastAsia="Times New Roman" w:cs="Arial"/>
                <w:b/>
                <w:bCs/>
                <w:szCs w:val="16"/>
              </w:rPr>
              <w:t>B</w:t>
            </w:r>
            <w:r w:rsidRPr="007D0769">
              <w:rPr>
                <w:rFonts w:eastAsia="Times New Roman" w:cs="Arial"/>
                <w:b/>
                <w:bCs/>
                <w:szCs w:val="16"/>
              </w:rPr>
              <w:t xml:space="preserve"> that were timely corrected (i.e., verified as corrected no later than one year from identification)</w:t>
            </w:r>
          </w:p>
        </w:tc>
        <w:tc>
          <w:tcPr>
            <w:tcW w:w="3060" w:type="dxa"/>
          </w:tcPr>
          <w:p w14:paraId="0C83EC96" w14:textId="7DD75CF9" w:rsidR="00DE12DF" w:rsidRPr="007D0769" w:rsidRDefault="00DE12DF" w:rsidP="00727602">
            <w:pPr>
              <w:jc w:val="center"/>
              <w:textAlignment w:val="baseline"/>
              <w:rPr>
                <w:rFonts w:eastAsia="Calibri" w:cs="Arial"/>
                <w:b/>
                <w:szCs w:val="16"/>
              </w:rPr>
            </w:pPr>
            <w:r w:rsidRPr="00CA6004">
              <w:rPr>
                <w:rFonts w:eastAsia="Times New Roman" w:cs="Arial"/>
                <w:b/>
                <w:bCs/>
                <w:szCs w:val="16"/>
              </w:rPr>
              <w:t>Column D:</w:t>
            </w:r>
            <w:r w:rsidRPr="00CA6004">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EE04D0">
              <w:rPr>
                <w:rFonts w:eastAsia="Times New Roman" w:cs="Arial"/>
                <w:b/>
                <w:bCs/>
                <w:szCs w:val="16"/>
              </w:rPr>
              <w:t>B</w:t>
            </w:r>
            <w:r w:rsidRPr="007D0769">
              <w:rPr>
                <w:rFonts w:eastAsia="Times New Roman" w:cs="Arial"/>
                <w:b/>
                <w:bCs/>
                <w:szCs w:val="16"/>
              </w:rPr>
              <w:t xml:space="preserve"> for which correction was not completed or timely corrected</w:t>
            </w:r>
          </w:p>
        </w:tc>
      </w:tr>
      <w:tr w:rsidR="00DE12DF" w:rsidRPr="007D0769" w14:paraId="4B3A4D39" w14:textId="77777777" w:rsidTr="00EC51AB">
        <w:trPr>
          <w:trHeight w:val="360"/>
          <w:tblHeader/>
        </w:trPr>
        <w:tc>
          <w:tcPr>
            <w:tcW w:w="2682" w:type="dxa"/>
            <w:shd w:val="clear" w:color="auto" w:fill="auto"/>
          </w:tcPr>
          <w:p w14:paraId="7F23C1FC" w14:textId="751A6433" w:rsidR="00DE12DF" w:rsidRPr="007D0769" w:rsidRDefault="00D45B4A">
            <w:pPr>
              <w:jc w:val="center"/>
              <w:textAlignment w:val="baseline"/>
              <w:rPr>
                <w:rFonts w:eastAsia="Times New Roman" w:cs="Arial"/>
                <w:b/>
                <w:bCs/>
                <w:szCs w:val="16"/>
              </w:rPr>
            </w:pPr>
            <w:r w:rsidRPr="00ED172B">
              <w:rPr>
                <w:rFonts w:cs="Arial"/>
                <w:color w:val="000000" w:themeColor="text1"/>
                <w:szCs w:val="16"/>
              </w:rPr>
              <w:t>0</w:t>
            </w:r>
          </w:p>
        </w:tc>
        <w:tc>
          <w:tcPr>
            <w:tcW w:w="2983" w:type="dxa"/>
            <w:shd w:val="clear" w:color="auto" w:fill="auto"/>
          </w:tcPr>
          <w:p w14:paraId="19D5CA93" w14:textId="67D86C2D" w:rsidR="00DE12DF" w:rsidRPr="007D0769" w:rsidRDefault="00D45B4A">
            <w:pPr>
              <w:jc w:val="center"/>
              <w:textAlignment w:val="baseline"/>
              <w:rPr>
                <w:rFonts w:eastAsia="Times New Roman" w:cs="Arial"/>
                <w:b/>
                <w:bCs/>
                <w:szCs w:val="16"/>
              </w:rPr>
            </w:pPr>
            <w:r w:rsidRPr="00ED172B">
              <w:rPr>
                <w:rFonts w:cs="Arial"/>
                <w:color w:val="000000" w:themeColor="text1"/>
                <w:szCs w:val="16"/>
              </w:rPr>
              <w:t>0</w:t>
            </w:r>
          </w:p>
        </w:tc>
        <w:tc>
          <w:tcPr>
            <w:tcW w:w="3060" w:type="dxa"/>
            <w:shd w:val="clear" w:color="auto" w:fill="auto"/>
          </w:tcPr>
          <w:p w14:paraId="738833DB" w14:textId="3B618AF3" w:rsidR="00DE12DF" w:rsidRPr="00947802" w:rsidRDefault="00D45B4A" w:rsidP="00C35B75">
            <w:pPr>
              <w:jc w:val="center"/>
              <w:textAlignment w:val="baseline"/>
              <w:rPr>
                <w:rFonts w:eastAsia="Times New Roman" w:cs="Arial"/>
                <w:szCs w:val="16"/>
                <w:lang w:val="es-ES"/>
              </w:rPr>
            </w:pPr>
            <w:r w:rsidRPr="00755D89">
              <w:rPr>
                <w:rFonts w:eastAsia="Times New Roman" w:cs="Arial"/>
                <w:szCs w:val="16"/>
              </w:rPr>
              <w:t>0</w:t>
            </w:r>
          </w:p>
        </w:tc>
      </w:tr>
    </w:tbl>
    <w:p w14:paraId="16B15681" w14:textId="77777777" w:rsidR="00DE12DF" w:rsidRPr="007D0769" w:rsidRDefault="00DE12DF" w:rsidP="00DE12DF">
      <w:pPr>
        <w:rPr>
          <w:rFonts w:eastAsia="Calibri" w:cs="Arial"/>
          <w:b/>
          <w:szCs w:val="16"/>
        </w:rPr>
      </w:pPr>
    </w:p>
    <w:p w14:paraId="2C5061B0" w14:textId="77777777" w:rsidR="00DE12DF" w:rsidRDefault="00DE12DF" w:rsidP="00DE12DF">
      <w:pPr>
        <w:rPr>
          <w:rFonts w:eastAsia="Calibri" w:cs="Arial"/>
          <w:b/>
          <w:szCs w:val="16"/>
        </w:rPr>
      </w:pPr>
      <w:r w:rsidRPr="00604167">
        <w:rPr>
          <w:rFonts w:eastAsia="Calibri" w:cs="Arial"/>
          <w:b/>
          <w:szCs w:val="16"/>
        </w:rPr>
        <w:t xml:space="preserve">Explain the source (e.g., State monitoring, State database/data system, dispute resolution, fiscal, related requirements, etc.) of any findings reported in this section: </w:t>
      </w:r>
    </w:p>
    <w:p w14:paraId="1C58DDDB" w14:textId="240F608B" w:rsidR="00DE12DF" w:rsidRPr="006675B4" w:rsidRDefault="00DE12DF" w:rsidP="00DE12DF">
      <w:pPr>
        <w:rPr>
          <w:rFonts w:eastAsia="Calibri" w:cs="Arial"/>
          <w:bCs/>
          <w:szCs w:val="16"/>
        </w:rPr>
      </w:pPr>
    </w:p>
    <w:p w14:paraId="3CA696A7" w14:textId="02C3A683" w:rsidR="00DE12DF" w:rsidRPr="00604167" w:rsidRDefault="00DE12DF" w:rsidP="00DE12DF">
      <w:pPr>
        <w:rPr>
          <w:rFonts w:eastAsia="Calibri" w:cs="Arial"/>
          <w:b/>
          <w:szCs w:val="16"/>
        </w:rPr>
      </w:pPr>
      <w:r>
        <w:rPr>
          <w:rFonts w:eastAsia="Calibri" w:cs="Arial"/>
          <w:b/>
          <w:szCs w:val="16"/>
        </w:rPr>
        <w:t xml:space="preserve">Please describe, consistent with OSEP QA 23-01, how the State verified that the </w:t>
      </w:r>
      <w:r w:rsidR="008A1B8D">
        <w:rPr>
          <w:rFonts w:eastAsia="Times New Roman" w:cs="Arial"/>
          <w:b/>
          <w:szCs w:val="16"/>
        </w:rPr>
        <w:t>source of noncompliance</w:t>
      </w:r>
      <w:r w:rsidRPr="00604167">
        <w:rPr>
          <w:rFonts w:eastAsia="Calibri" w:cs="Arial"/>
          <w:b/>
          <w:szCs w:val="16"/>
        </w:rPr>
        <w:t xml:space="preserve"> is correctly implementing the regulatory requirements</w:t>
      </w:r>
      <w:r w:rsidRPr="00604167">
        <w:rPr>
          <w:rFonts w:eastAsia="Calibri" w:cs="Arial"/>
          <w:b/>
          <w:i/>
          <w:iCs/>
          <w:szCs w:val="16"/>
        </w:rPr>
        <w:t xml:space="preserve"> </w:t>
      </w:r>
      <w:r w:rsidRPr="00604167">
        <w:rPr>
          <w:rFonts w:eastAsia="Calibri" w:cs="Arial"/>
          <w:b/>
          <w:szCs w:val="16"/>
        </w:rPr>
        <w:t xml:space="preserve">based on </w:t>
      </w:r>
      <w:r w:rsidRPr="00604167">
        <w:rPr>
          <w:rFonts w:eastAsia="Calibri" w:cs="Arial"/>
          <w:b/>
          <w:i/>
          <w:iCs/>
          <w:szCs w:val="16"/>
        </w:rPr>
        <w:t>updated data</w:t>
      </w:r>
      <w:r w:rsidRPr="00604167">
        <w:rPr>
          <w:rFonts w:eastAsia="Calibri" w:cs="Arial"/>
          <w:b/>
          <w:szCs w:val="16"/>
        </w:rPr>
        <w:t xml:space="preserve">: </w:t>
      </w:r>
    </w:p>
    <w:p w14:paraId="6A4A6772" w14:textId="4005639E" w:rsidR="00DE12DF" w:rsidRPr="006675B4" w:rsidRDefault="00DE12DF" w:rsidP="00DE12DF">
      <w:pPr>
        <w:rPr>
          <w:rFonts w:eastAsia="Calibri" w:cs="Arial"/>
          <w:bCs/>
          <w:szCs w:val="16"/>
        </w:rPr>
      </w:pPr>
    </w:p>
    <w:p w14:paraId="59014D00" w14:textId="77777777" w:rsidR="00DE12DF" w:rsidRPr="00C35B75" w:rsidRDefault="00DE12DF" w:rsidP="00DE12DF">
      <w:pPr>
        <w:rPr>
          <w:rFonts w:eastAsia="Calibri" w:cs="Arial"/>
          <w:b/>
          <w:szCs w:val="16"/>
        </w:rPr>
      </w:pPr>
      <w:r w:rsidRPr="00C35B75">
        <w:rPr>
          <w:rFonts w:eastAsia="Calibri" w:cs="Arial"/>
          <w:b/>
          <w:szCs w:val="16"/>
        </w:rPr>
        <w:t xml:space="preserve">Please describe, consistent with OSEP QA 23-01, how the State verified that each </w:t>
      </w:r>
      <w:r w:rsidRPr="00C35B75">
        <w:rPr>
          <w:rFonts w:eastAsia="Calibri" w:cs="Arial"/>
          <w:b/>
          <w:i/>
          <w:iCs/>
          <w:szCs w:val="16"/>
        </w:rPr>
        <w:t>individual case</w:t>
      </w:r>
      <w:r w:rsidRPr="00C35B75">
        <w:rPr>
          <w:rFonts w:eastAsia="Calibri" w:cs="Arial"/>
          <w:b/>
          <w:szCs w:val="16"/>
        </w:rPr>
        <w:t xml:space="preserve"> of noncompliance was corrected: </w:t>
      </w:r>
    </w:p>
    <w:p w14:paraId="72585E78" w14:textId="0A754C7F" w:rsidR="00DE12DF" w:rsidRPr="006675B4" w:rsidRDefault="00DE12DF" w:rsidP="00DE12DF">
      <w:pPr>
        <w:rPr>
          <w:rFonts w:eastAsia="Calibri" w:cs="Arial"/>
          <w:bCs/>
          <w:szCs w:val="16"/>
        </w:rPr>
      </w:pPr>
    </w:p>
    <w:p w14:paraId="6D0B90EA" w14:textId="77777777" w:rsidR="00957496" w:rsidRPr="00C35B75" w:rsidRDefault="00957496" w:rsidP="00DE12DF">
      <w:pPr>
        <w:rPr>
          <w:rFonts w:eastAsia="Calibri" w:cs="Arial"/>
          <w:b/>
          <w:szCs w:val="16"/>
        </w:rPr>
      </w:pPr>
    </w:p>
    <w:p w14:paraId="5E7BFD76" w14:textId="77777777" w:rsidR="00DE12DF" w:rsidRPr="007D0769" w:rsidRDefault="00DE12DF" w:rsidP="00DE12DF">
      <w:pPr>
        <w:rPr>
          <w:rFonts w:eastAsia="Calibri" w:cs="Arial"/>
          <w:b/>
          <w:szCs w:val="16"/>
        </w:rPr>
      </w:pPr>
      <w:r w:rsidRPr="007D0769">
        <w:rPr>
          <w:rFonts w:eastAsia="Calibri" w:cs="Arial"/>
          <w:b/>
          <w:szCs w:val="16"/>
        </w:rPr>
        <w:t xml:space="preserve">Total for All Noncompliance Identified (Indicators 1, 7, 8A, 8B, 8C, and Optional Areas): </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Caption w:val="C12FONTOT"/>
      </w:tblPr>
      <w:tblGrid>
        <w:gridCol w:w="2165"/>
        <w:gridCol w:w="2165"/>
        <w:gridCol w:w="2165"/>
        <w:gridCol w:w="2165"/>
        <w:gridCol w:w="2165"/>
      </w:tblGrid>
      <w:tr w:rsidR="00C35B75" w:rsidRPr="007D0769" w14:paraId="6B39DB63" w14:textId="77777777" w:rsidTr="00EC51AB">
        <w:trPr>
          <w:trHeight w:val="360"/>
          <w:tblHeader/>
        </w:trPr>
        <w:tc>
          <w:tcPr>
            <w:tcW w:w="2165" w:type="dxa"/>
            <w:shd w:val="clear" w:color="auto" w:fill="auto"/>
          </w:tcPr>
          <w:p w14:paraId="7C74BD30" w14:textId="63060B86" w:rsidR="00DE12DF" w:rsidRPr="00947802" w:rsidRDefault="00DE12DF" w:rsidP="00727602">
            <w:pPr>
              <w:jc w:val="center"/>
              <w:textAlignment w:val="baseline"/>
              <w:rPr>
                <w:rFonts w:eastAsia="Times New Roman" w:cs="Arial"/>
                <w:b/>
                <w:bCs/>
                <w:szCs w:val="16"/>
              </w:rPr>
            </w:pPr>
            <w:r w:rsidRPr="007D0769">
              <w:rPr>
                <w:rFonts w:eastAsia="Times New Roman" w:cs="Arial"/>
                <w:b/>
                <w:bCs/>
                <w:szCs w:val="16"/>
              </w:rPr>
              <w:t>Column A: # of written findings of noncompliance identified in FFY 2022 (7/1/22 – 6/30/23)</w:t>
            </w:r>
          </w:p>
        </w:tc>
        <w:tc>
          <w:tcPr>
            <w:tcW w:w="2165" w:type="dxa"/>
          </w:tcPr>
          <w:p w14:paraId="57636065" w14:textId="05FEDB65" w:rsidR="00DE12DF" w:rsidRPr="007D0769" w:rsidRDefault="00DE12DF" w:rsidP="00727602">
            <w:pPr>
              <w:ind w:left="45" w:right="77"/>
              <w:jc w:val="center"/>
              <w:textAlignment w:val="baseline"/>
              <w:rPr>
                <w:rFonts w:eastAsia="Times New Roman" w:cs="Arial"/>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65" w:type="dxa"/>
            <w:shd w:val="clear" w:color="auto" w:fill="auto"/>
          </w:tcPr>
          <w:p w14:paraId="38ED244F" w14:textId="79F4F0BD" w:rsidR="00DE12DF" w:rsidRPr="007D0769" w:rsidRDefault="00DE12DF" w:rsidP="00727602">
            <w:pPr>
              <w:jc w:val="center"/>
              <w:textAlignment w:val="baseline"/>
              <w:rPr>
                <w:rFonts w:eastAsia="Times New Roman" w:cs="Arial"/>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65" w:type="dxa"/>
          </w:tcPr>
          <w:p w14:paraId="3D91A43B" w14:textId="44C4736D" w:rsidR="00DE12DF" w:rsidRPr="007D0769" w:rsidRDefault="00DE12DF" w:rsidP="00727602">
            <w:pPr>
              <w:jc w:val="center"/>
              <w:textAlignment w:val="baseline"/>
              <w:rPr>
                <w:rFonts w:eastAsia="Times New Roman" w:cs="Arial"/>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65" w:type="dxa"/>
            <w:shd w:val="clear" w:color="auto" w:fill="auto"/>
          </w:tcPr>
          <w:p w14:paraId="618FF86A" w14:textId="3F8D04AC" w:rsidR="00DE12DF" w:rsidRPr="007D0769" w:rsidRDefault="00DE12DF" w:rsidP="00727602">
            <w:pPr>
              <w:jc w:val="center"/>
              <w:textAlignment w:val="baseline"/>
              <w:rPr>
                <w:rFonts w:eastAsia="Times New Roman" w:cs="Arial"/>
                <w:szCs w:val="16"/>
              </w:rPr>
            </w:pPr>
            <w:r w:rsidRPr="00755D89">
              <w:rPr>
                <w:rFonts w:eastAsia="Times New Roman" w:cs="Arial"/>
                <w:b/>
                <w:bCs/>
                <w:szCs w:val="16"/>
              </w:rPr>
              <w:t>Column D:</w:t>
            </w:r>
            <w:r w:rsidRPr="00755D8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Columns </w:t>
            </w:r>
            <w:r w:rsidRPr="007D0769">
              <w:rPr>
                <w:rFonts w:eastAsia="Times New Roman" w:cs="Arial"/>
                <w:b/>
                <w:bCs/>
                <w:szCs w:val="16"/>
              </w:rPr>
              <w:t>A and B for which correction was not completed or timely corrected</w:t>
            </w:r>
          </w:p>
        </w:tc>
      </w:tr>
      <w:tr w:rsidR="00C35B75" w:rsidRPr="007D0769" w14:paraId="3F8F7CB1" w14:textId="77777777" w:rsidTr="00EC51AB">
        <w:trPr>
          <w:trHeight w:val="360"/>
          <w:tblHeader/>
        </w:trPr>
        <w:tc>
          <w:tcPr>
            <w:tcW w:w="2165" w:type="dxa"/>
            <w:shd w:val="clear" w:color="auto" w:fill="auto"/>
            <w:hideMark/>
          </w:tcPr>
          <w:p w14:paraId="25A25FD9" w14:textId="602B0E69" w:rsidR="00DE12DF" w:rsidRPr="00BF1E35" w:rsidRDefault="00C35B75" w:rsidP="00727602">
            <w:pPr>
              <w:jc w:val="center"/>
              <w:textAlignment w:val="baseline"/>
              <w:rPr>
                <w:rFonts w:eastAsia="Times New Roman" w:cs="Arial"/>
                <w:szCs w:val="16"/>
              </w:rPr>
            </w:pPr>
            <w:r w:rsidRPr="00BF1E35">
              <w:rPr>
                <w:rFonts w:cs="Arial"/>
                <w:color w:val="000000" w:themeColor="text1"/>
                <w:szCs w:val="16"/>
              </w:rPr>
              <w:t>117</w:t>
            </w:r>
          </w:p>
        </w:tc>
        <w:tc>
          <w:tcPr>
            <w:tcW w:w="2165" w:type="dxa"/>
            <w:shd w:val="clear" w:color="auto" w:fill="auto"/>
          </w:tcPr>
          <w:p w14:paraId="6143DD79" w14:textId="33084780" w:rsidR="00DE12DF" w:rsidRPr="00BF1E35" w:rsidRDefault="00C35B75" w:rsidP="00727602">
            <w:pPr>
              <w:jc w:val="center"/>
              <w:textAlignment w:val="baseline"/>
              <w:rPr>
                <w:rFonts w:eastAsia="Times New Roman" w:cs="Arial"/>
                <w:szCs w:val="16"/>
              </w:rPr>
            </w:pPr>
            <w:r w:rsidRPr="00BF1E35">
              <w:rPr>
                <w:rFonts w:eastAsia="Times New Roman" w:cs="Arial"/>
                <w:szCs w:val="16"/>
              </w:rPr>
              <w:t>0</w:t>
            </w:r>
          </w:p>
        </w:tc>
        <w:tc>
          <w:tcPr>
            <w:tcW w:w="2165" w:type="dxa"/>
            <w:shd w:val="clear" w:color="auto" w:fill="auto"/>
            <w:hideMark/>
          </w:tcPr>
          <w:p w14:paraId="03945C67" w14:textId="15DD0772" w:rsidR="00DE12DF" w:rsidRPr="00BF1E35" w:rsidRDefault="00C35B75" w:rsidP="00727602">
            <w:pPr>
              <w:jc w:val="center"/>
              <w:textAlignment w:val="baseline"/>
              <w:rPr>
                <w:rFonts w:eastAsia="Times New Roman" w:cs="Arial"/>
                <w:szCs w:val="16"/>
              </w:rPr>
            </w:pPr>
            <w:r w:rsidRPr="00BF1E35">
              <w:rPr>
                <w:rFonts w:cs="Arial"/>
                <w:color w:val="000000" w:themeColor="text1"/>
                <w:szCs w:val="16"/>
              </w:rPr>
              <w:t>117</w:t>
            </w:r>
          </w:p>
        </w:tc>
        <w:tc>
          <w:tcPr>
            <w:tcW w:w="2165" w:type="dxa"/>
            <w:shd w:val="clear" w:color="auto" w:fill="auto"/>
          </w:tcPr>
          <w:p w14:paraId="6DA98F0B" w14:textId="00EE25A6" w:rsidR="00DE12DF" w:rsidRPr="00BF1E35" w:rsidRDefault="00C35B75" w:rsidP="00727602">
            <w:pPr>
              <w:jc w:val="center"/>
              <w:textAlignment w:val="baseline"/>
              <w:rPr>
                <w:rFonts w:eastAsia="Times New Roman" w:cs="Arial"/>
                <w:szCs w:val="16"/>
              </w:rPr>
            </w:pPr>
            <w:r w:rsidRPr="00BF1E35">
              <w:rPr>
                <w:rFonts w:eastAsia="Times New Roman" w:cs="Arial"/>
                <w:szCs w:val="16"/>
              </w:rPr>
              <w:t>0</w:t>
            </w:r>
          </w:p>
        </w:tc>
        <w:tc>
          <w:tcPr>
            <w:tcW w:w="2165" w:type="dxa"/>
            <w:shd w:val="clear" w:color="auto" w:fill="auto"/>
            <w:hideMark/>
          </w:tcPr>
          <w:p w14:paraId="1CE1789B" w14:textId="053B98AC" w:rsidR="00DE12DF" w:rsidRPr="00BF1E35" w:rsidRDefault="00C35B75" w:rsidP="00727602">
            <w:pPr>
              <w:jc w:val="center"/>
              <w:textAlignment w:val="baseline"/>
              <w:rPr>
                <w:rFonts w:eastAsia="Times New Roman" w:cs="Arial"/>
                <w:szCs w:val="16"/>
              </w:rPr>
            </w:pPr>
            <w:r w:rsidRPr="00BF1E35">
              <w:rPr>
                <w:rFonts w:eastAsia="Times New Roman" w:cs="Arial"/>
                <w:szCs w:val="16"/>
              </w:rPr>
              <w:t>0</w:t>
            </w:r>
          </w:p>
        </w:tc>
      </w:tr>
    </w:tbl>
    <w:p w14:paraId="7563F6EA" w14:textId="77777777" w:rsidR="00F35B4D" w:rsidRDefault="00F35B4D" w:rsidP="00DE12DF">
      <w:pPr>
        <w:rPr>
          <w:rFonts w:eastAsia="Times New Roman" w:cs="Arial"/>
          <w:b/>
          <w:bCs/>
          <w:szCs w:val="16"/>
        </w:rPr>
      </w:pPr>
    </w:p>
    <w:p w14:paraId="7B778E7A" w14:textId="6949B283" w:rsidR="00DE12DF" w:rsidRPr="007D0769" w:rsidRDefault="00B55430" w:rsidP="00DE12DF">
      <w:pPr>
        <w:rPr>
          <w:rFonts w:eastAsia="Times New Roman" w:cs="Arial"/>
          <w:b/>
          <w:bCs/>
          <w:szCs w:val="16"/>
        </w:rPr>
      </w:pPr>
      <w:r>
        <w:rPr>
          <w:rFonts w:eastAsia="Times New Roman" w:cs="Arial"/>
          <w:b/>
          <w:bCs/>
          <w:szCs w:val="16"/>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2FFYAPRDATA"/>
      </w:tblPr>
      <w:tblGrid>
        <w:gridCol w:w="2338"/>
        <w:gridCol w:w="2338"/>
        <w:gridCol w:w="1221"/>
        <w:gridCol w:w="1224"/>
        <w:gridCol w:w="1224"/>
        <w:gridCol w:w="1224"/>
        <w:gridCol w:w="1221"/>
      </w:tblGrid>
      <w:tr w:rsidR="00B55430" w:rsidRPr="007D0769" w14:paraId="368D7EFA" w14:textId="77777777" w:rsidTr="00EC51AB">
        <w:trPr>
          <w:trHeight w:val="360"/>
          <w:tblHeader/>
        </w:trPr>
        <w:tc>
          <w:tcPr>
            <w:tcW w:w="1083" w:type="pct"/>
          </w:tcPr>
          <w:p w14:paraId="34A1C965" w14:textId="1FF91FCA" w:rsidR="00DE12DF" w:rsidRPr="007D0769" w:rsidRDefault="00DE12DF">
            <w:pPr>
              <w:jc w:val="center"/>
              <w:rPr>
                <w:rFonts w:eastAsia="Calibri" w:cs="Arial"/>
                <w:b/>
                <w:szCs w:val="16"/>
              </w:rPr>
            </w:pPr>
            <w:r w:rsidRPr="007D0769">
              <w:rPr>
                <w:rFonts w:eastAsia="Calibri" w:cs="Arial"/>
                <w:b/>
                <w:szCs w:val="16"/>
              </w:rPr>
              <w:t>Number of findings of Noncompliance that were timely corrected</w:t>
            </w:r>
          </w:p>
        </w:tc>
        <w:tc>
          <w:tcPr>
            <w:tcW w:w="1083" w:type="pct"/>
            <w:shd w:val="clear" w:color="auto" w:fill="auto"/>
          </w:tcPr>
          <w:p w14:paraId="3DB7F0E6" w14:textId="3345520A" w:rsidR="00DE12DF" w:rsidRPr="007D0769" w:rsidRDefault="00DE12DF">
            <w:pPr>
              <w:jc w:val="center"/>
              <w:rPr>
                <w:rFonts w:eastAsia="Calibri" w:cs="Arial"/>
                <w:b/>
                <w:szCs w:val="16"/>
              </w:rPr>
            </w:pPr>
            <w:r w:rsidRPr="007D0769">
              <w:rPr>
                <w:rFonts w:eastAsia="Calibri" w:cs="Arial"/>
                <w:b/>
                <w:szCs w:val="16"/>
              </w:rPr>
              <w:t>Number of findings of Noncompliance that were identified in FFY 2022</w:t>
            </w:r>
          </w:p>
        </w:tc>
        <w:tc>
          <w:tcPr>
            <w:tcW w:w="566" w:type="pct"/>
            <w:shd w:val="clear" w:color="auto" w:fill="auto"/>
          </w:tcPr>
          <w:p w14:paraId="12E1F63F" w14:textId="05691251" w:rsidR="00DE12DF" w:rsidRPr="007D0769" w:rsidRDefault="00DE12DF" w:rsidP="00727602">
            <w:pPr>
              <w:jc w:val="center"/>
              <w:rPr>
                <w:rFonts w:eastAsia="Calibri" w:cs="Arial"/>
                <w:b/>
                <w:szCs w:val="16"/>
              </w:rPr>
            </w:pPr>
            <w:r w:rsidRPr="007D0769">
              <w:rPr>
                <w:rFonts w:eastAsia="Calibri" w:cs="Arial"/>
                <w:b/>
                <w:szCs w:val="16"/>
              </w:rPr>
              <w:t>FFY 2022 Data</w:t>
            </w:r>
          </w:p>
        </w:tc>
        <w:tc>
          <w:tcPr>
            <w:tcW w:w="567" w:type="pct"/>
            <w:shd w:val="clear" w:color="auto" w:fill="auto"/>
          </w:tcPr>
          <w:p w14:paraId="01B082D1" w14:textId="77777777" w:rsidR="00DE12DF" w:rsidRPr="007D0769" w:rsidRDefault="00DE12DF">
            <w:pPr>
              <w:jc w:val="center"/>
              <w:rPr>
                <w:rFonts w:eastAsia="Calibri" w:cs="Arial"/>
                <w:b/>
                <w:szCs w:val="16"/>
              </w:rPr>
            </w:pPr>
            <w:r w:rsidRPr="007D0769">
              <w:rPr>
                <w:rFonts w:eastAsia="Calibri" w:cs="Arial"/>
                <w:b/>
                <w:szCs w:val="16"/>
              </w:rPr>
              <w:t>FFY 2023 Target</w:t>
            </w:r>
          </w:p>
        </w:tc>
        <w:tc>
          <w:tcPr>
            <w:tcW w:w="567" w:type="pct"/>
            <w:shd w:val="clear" w:color="auto" w:fill="auto"/>
          </w:tcPr>
          <w:p w14:paraId="23B30C3E" w14:textId="69B97C3F" w:rsidR="00DE12DF" w:rsidRPr="007D0769" w:rsidRDefault="00DE12DF" w:rsidP="00727602">
            <w:pPr>
              <w:jc w:val="center"/>
              <w:rPr>
                <w:rFonts w:eastAsia="Calibri" w:cs="Arial"/>
                <w:b/>
                <w:szCs w:val="16"/>
              </w:rPr>
            </w:pPr>
            <w:r w:rsidRPr="007D0769">
              <w:rPr>
                <w:rFonts w:eastAsia="Calibri" w:cs="Arial"/>
                <w:b/>
                <w:szCs w:val="16"/>
              </w:rPr>
              <w:t>FFY 2023 Data</w:t>
            </w:r>
          </w:p>
        </w:tc>
        <w:tc>
          <w:tcPr>
            <w:tcW w:w="567" w:type="pct"/>
            <w:shd w:val="clear" w:color="auto" w:fill="auto"/>
          </w:tcPr>
          <w:p w14:paraId="26E967A3" w14:textId="77777777" w:rsidR="00DE12DF" w:rsidRPr="007D0769" w:rsidRDefault="00DE12DF">
            <w:pPr>
              <w:jc w:val="center"/>
              <w:rPr>
                <w:rFonts w:eastAsia="Calibri" w:cs="Arial"/>
                <w:b/>
                <w:szCs w:val="16"/>
              </w:rPr>
            </w:pPr>
            <w:r w:rsidRPr="007D0769">
              <w:rPr>
                <w:rFonts w:eastAsia="Calibri" w:cs="Arial"/>
                <w:b/>
                <w:szCs w:val="16"/>
              </w:rPr>
              <w:t>Status</w:t>
            </w:r>
          </w:p>
        </w:tc>
        <w:tc>
          <w:tcPr>
            <w:tcW w:w="566" w:type="pct"/>
            <w:shd w:val="clear" w:color="auto" w:fill="auto"/>
          </w:tcPr>
          <w:p w14:paraId="6339AC22" w14:textId="77777777" w:rsidR="00DE12DF" w:rsidRPr="007D0769" w:rsidRDefault="00DE12DF">
            <w:pPr>
              <w:jc w:val="center"/>
              <w:rPr>
                <w:rFonts w:eastAsia="Calibri" w:cs="Arial"/>
                <w:b/>
                <w:szCs w:val="16"/>
              </w:rPr>
            </w:pPr>
            <w:r w:rsidRPr="007D0769">
              <w:rPr>
                <w:rFonts w:eastAsia="Calibri" w:cs="Arial"/>
                <w:b/>
                <w:szCs w:val="16"/>
              </w:rPr>
              <w:t>Slippage</w:t>
            </w:r>
          </w:p>
        </w:tc>
      </w:tr>
      <w:tr w:rsidR="00B55430" w:rsidRPr="007D0769" w14:paraId="08846074" w14:textId="77777777" w:rsidTr="00EC51AB">
        <w:trPr>
          <w:trHeight w:val="360"/>
          <w:tblHeader/>
        </w:trPr>
        <w:tc>
          <w:tcPr>
            <w:tcW w:w="1083" w:type="pct"/>
            <w:shd w:val="clear" w:color="auto" w:fill="auto"/>
          </w:tcPr>
          <w:p w14:paraId="6D4D0280" w14:textId="291FF24C" w:rsidR="00DE2DFB" w:rsidRPr="007D0769" w:rsidRDefault="00DE2DFB" w:rsidP="00727602">
            <w:pPr>
              <w:jc w:val="center"/>
              <w:rPr>
                <w:rFonts w:eastAsia="Calibri" w:cs="Arial"/>
                <w:iCs/>
                <w:szCs w:val="16"/>
              </w:rPr>
            </w:pPr>
            <w:r>
              <w:rPr>
                <w:rFonts w:cs="Arial"/>
                <w:color w:val="000000" w:themeColor="text1"/>
                <w:szCs w:val="16"/>
              </w:rPr>
              <w:t>117</w:t>
            </w:r>
          </w:p>
        </w:tc>
        <w:tc>
          <w:tcPr>
            <w:tcW w:w="1083" w:type="pct"/>
            <w:shd w:val="clear" w:color="auto" w:fill="auto"/>
          </w:tcPr>
          <w:p w14:paraId="3E65E5DB" w14:textId="096446AE" w:rsidR="00DE2DFB" w:rsidRPr="007D0769" w:rsidRDefault="00DE2DFB" w:rsidP="00727602">
            <w:pPr>
              <w:jc w:val="center"/>
              <w:rPr>
                <w:rFonts w:eastAsia="Calibri" w:cs="Arial"/>
                <w:iCs/>
                <w:szCs w:val="16"/>
              </w:rPr>
            </w:pPr>
            <w:r>
              <w:rPr>
                <w:rFonts w:cs="Arial"/>
                <w:color w:val="000000" w:themeColor="text1"/>
                <w:szCs w:val="16"/>
              </w:rPr>
              <w:t>117</w:t>
            </w:r>
          </w:p>
        </w:tc>
        <w:tc>
          <w:tcPr>
            <w:tcW w:w="566" w:type="pct"/>
            <w:shd w:val="clear" w:color="auto" w:fill="auto"/>
          </w:tcPr>
          <w:p w14:paraId="662FD80D" w14:textId="4B94E736" w:rsidR="00DE2DFB" w:rsidRPr="007D0769" w:rsidRDefault="00DE2DFB" w:rsidP="00DE2DFB">
            <w:pPr>
              <w:jc w:val="center"/>
              <w:rPr>
                <w:rFonts w:eastAsia="Calibri" w:cs="Arial"/>
                <w:caps/>
                <w:szCs w:val="16"/>
              </w:rPr>
            </w:pPr>
          </w:p>
        </w:tc>
        <w:tc>
          <w:tcPr>
            <w:tcW w:w="567" w:type="pct"/>
            <w:shd w:val="clear" w:color="auto" w:fill="auto"/>
          </w:tcPr>
          <w:p w14:paraId="54804E3A" w14:textId="3471F73A" w:rsidR="00DE2DFB" w:rsidRPr="007D0769" w:rsidRDefault="00DE2DFB" w:rsidP="00DE2DFB">
            <w:pPr>
              <w:jc w:val="center"/>
              <w:rPr>
                <w:rFonts w:eastAsia="Calibri" w:cs="Arial"/>
                <w:caps/>
                <w:szCs w:val="16"/>
              </w:rPr>
            </w:pPr>
            <w:r w:rsidRPr="00ED172B">
              <w:rPr>
                <w:color w:val="000000" w:themeColor="text1"/>
                <w:szCs w:val="16"/>
              </w:rPr>
              <w:t>100%</w:t>
            </w:r>
          </w:p>
        </w:tc>
        <w:tc>
          <w:tcPr>
            <w:tcW w:w="567" w:type="pct"/>
            <w:shd w:val="clear" w:color="auto" w:fill="auto"/>
          </w:tcPr>
          <w:p w14:paraId="6A140DD4" w14:textId="129A0DC8" w:rsidR="00DE2DFB" w:rsidRPr="007D0769" w:rsidRDefault="00DE2DFB" w:rsidP="00DE2DFB">
            <w:pPr>
              <w:jc w:val="center"/>
              <w:rPr>
                <w:rFonts w:eastAsia="Calibri" w:cs="Arial"/>
                <w:caps/>
                <w:szCs w:val="16"/>
              </w:rPr>
            </w:pPr>
            <w:r w:rsidRPr="00ED172B">
              <w:rPr>
                <w:rFonts w:cs="Arial"/>
                <w:color w:val="000000" w:themeColor="text1"/>
                <w:szCs w:val="16"/>
              </w:rPr>
              <w:t>100.00%</w:t>
            </w:r>
          </w:p>
        </w:tc>
        <w:tc>
          <w:tcPr>
            <w:tcW w:w="567" w:type="pct"/>
            <w:shd w:val="clear" w:color="auto" w:fill="auto"/>
          </w:tcPr>
          <w:p w14:paraId="69AEBEDC" w14:textId="53FE332D" w:rsidR="00DE2DFB" w:rsidRPr="007D0769" w:rsidRDefault="00DE2DFB" w:rsidP="00DE2DFB">
            <w:pPr>
              <w:jc w:val="center"/>
              <w:rPr>
                <w:rFonts w:eastAsia="Calibri" w:cs="Arial"/>
                <w:caps/>
                <w:szCs w:val="16"/>
              </w:rPr>
            </w:pPr>
            <w:r w:rsidRPr="00ED172B">
              <w:rPr>
                <w:color w:val="000000" w:themeColor="text1"/>
              </w:rPr>
              <w:t>N/A</w:t>
            </w:r>
          </w:p>
        </w:tc>
        <w:tc>
          <w:tcPr>
            <w:tcW w:w="566" w:type="pct"/>
            <w:shd w:val="clear" w:color="auto" w:fill="auto"/>
          </w:tcPr>
          <w:p w14:paraId="08538E3D" w14:textId="720CF5DE" w:rsidR="00DE2DFB" w:rsidRPr="007D0769" w:rsidRDefault="00DE2DFB" w:rsidP="00DE2DFB">
            <w:pPr>
              <w:jc w:val="center"/>
              <w:rPr>
                <w:rFonts w:eastAsia="Calibri" w:cs="Arial"/>
                <w:caps/>
                <w:szCs w:val="16"/>
              </w:rPr>
            </w:pPr>
            <w:r w:rsidRPr="00ED172B">
              <w:rPr>
                <w:color w:val="000000" w:themeColor="text1"/>
              </w:rPr>
              <w:t>N/A</w:t>
            </w:r>
          </w:p>
        </w:tc>
      </w:tr>
    </w:tbl>
    <w:p w14:paraId="5974EEA6" w14:textId="6949B283" w:rsidR="00DE12DF" w:rsidRDefault="00DE12DF" w:rsidP="00DE12DF">
      <w:pPr>
        <w:rPr>
          <w:rFonts w:eastAsia="Calibri" w:cs="Arial"/>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2FONNTC"/>
      </w:tblPr>
      <w:tblGrid>
        <w:gridCol w:w="8095"/>
        <w:gridCol w:w="2695"/>
      </w:tblGrid>
      <w:tr w:rsidR="00DE12DF" w:rsidRPr="007D0769" w14:paraId="1BDA54D5" w14:textId="77777777" w:rsidTr="00EC51AB">
        <w:trPr>
          <w:trHeight w:val="720"/>
        </w:trPr>
        <w:tc>
          <w:tcPr>
            <w:tcW w:w="3751" w:type="pct"/>
            <w:shd w:val="clear" w:color="auto" w:fill="auto"/>
            <w:vAlign w:val="center"/>
          </w:tcPr>
          <w:p w14:paraId="75F42C18" w14:textId="77777777" w:rsidR="00DE12DF" w:rsidRPr="007D0769" w:rsidRDefault="00DE12DF">
            <w:pPr>
              <w:jc w:val="center"/>
              <w:rPr>
                <w:rFonts w:eastAsia="Calibri" w:cs="Arial"/>
                <w:caps/>
                <w:szCs w:val="16"/>
              </w:rPr>
            </w:pPr>
            <w:r w:rsidRPr="00F471F8">
              <w:rPr>
                <w:rFonts w:eastAsia="Calibri" w:cs="Arial"/>
                <w:iCs/>
                <w:szCs w:val="16"/>
              </w:rPr>
              <w:t>Percent of findings of noncompliance not corrected or not verified as corrected within one year of identification</w:t>
            </w:r>
          </w:p>
        </w:tc>
        <w:tc>
          <w:tcPr>
            <w:tcW w:w="1249" w:type="pct"/>
            <w:shd w:val="clear" w:color="auto" w:fill="auto"/>
            <w:vAlign w:val="center"/>
          </w:tcPr>
          <w:p w14:paraId="334C9419" w14:textId="69DEA4D5" w:rsidR="00DE12DF" w:rsidRPr="00727602" w:rsidRDefault="0055390C" w:rsidP="0055390C">
            <w:pPr>
              <w:jc w:val="center"/>
              <w:rPr>
                <w:rFonts w:eastAsia="Calibri" w:cs="Arial"/>
                <w:iCs/>
                <w:szCs w:val="16"/>
              </w:rPr>
            </w:pPr>
            <w:r>
              <w:rPr>
                <w:rFonts w:eastAsia="Calibri" w:cs="Arial"/>
                <w:iCs/>
                <w:szCs w:val="16"/>
              </w:rPr>
              <w:t>0.00%</w:t>
            </w:r>
          </w:p>
        </w:tc>
      </w:tr>
    </w:tbl>
    <w:p w14:paraId="4DFFE92C" w14:textId="77777777" w:rsidR="00DE12DF" w:rsidRPr="00947802" w:rsidRDefault="00DE12DF" w:rsidP="00DE12DF">
      <w:pPr>
        <w:keepNext/>
        <w:spacing w:after="0"/>
        <w:rPr>
          <w:rFonts w:eastAsia="Calibri" w:cs="Arial"/>
          <w:b/>
          <w:szCs w:val="16"/>
        </w:rPr>
      </w:pPr>
      <w:r w:rsidRPr="00947802">
        <w:rPr>
          <w:rFonts w:eastAsia="Calibri" w:cs="Arial"/>
          <w:b/>
          <w:szCs w:val="16"/>
        </w:rPr>
        <w:t>Provide additional information about this indicator (optional)</w:t>
      </w:r>
    </w:p>
    <w:p w14:paraId="00BFCBCF" w14:textId="6F71B63F" w:rsidR="00DE12DF" w:rsidRPr="006675B4" w:rsidRDefault="00DE12DF" w:rsidP="00DE12DF">
      <w:pPr>
        <w:rPr>
          <w:rFonts w:eastAsia="Calibri" w:cs="Arial"/>
          <w:bCs/>
        </w:rPr>
      </w:pPr>
    </w:p>
    <w:p w14:paraId="0FF2C638" w14:textId="77777777" w:rsidR="00DE12DF" w:rsidRPr="00604167" w:rsidRDefault="00DE12DF" w:rsidP="00DE12DF">
      <w:pPr>
        <w:rPr>
          <w:rFonts w:eastAsia="Calibri" w:cs="Arial"/>
          <w:b/>
          <w:szCs w:val="16"/>
        </w:rPr>
      </w:pPr>
    </w:p>
    <w:p w14:paraId="3DC9E2B4" w14:textId="2AF0683F" w:rsidR="00DE12DF" w:rsidRPr="007D0769" w:rsidRDefault="00DE12DF" w:rsidP="00DE12DF">
      <w:pPr>
        <w:rPr>
          <w:rFonts w:eastAsia="Times New Roman" w:cs="Arial"/>
          <w:b/>
          <w:bCs/>
          <w:szCs w:val="16"/>
        </w:rPr>
      </w:pPr>
      <w:r w:rsidRPr="007D0769">
        <w:rPr>
          <w:rFonts w:eastAsia="Times New Roman" w:cs="Arial"/>
          <w:b/>
          <w:bCs/>
          <w:szCs w:val="16"/>
        </w:rPr>
        <w:lastRenderedPageBreak/>
        <w:t>Summary of Findings of Noncompliance identified in FFY 2022 Corrected in FFY 2023 (corrected within one year from identification of the noncompliance):</w:t>
      </w:r>
    </w:p>
    <w:tbl>
      <w:tblPr>
        <w:tblW w:w="10759" w:type="dxa"/>
        <w:tblInd w:w="-8"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firstRow="1" w:lastRow="0" w:firstColumn="1" w:lastColumn="0" w:noHBand="0" w:noVBand="1"/>
        <w:tblCaption w:val="C12FONTCSUMMARY"/>
      </w:tblPr>
      <w:tblGrid>
        <w:gridCol w:w="6750"/>
        <w:gridCol w:w="4009"/>
      </w:tblGrid>
      <w:tr w:rsidR="00F90937" w:rsidRPr="007D0769" w14:paraId="5F0015DF" w14:textId="77777777" w:rsidTr="00EC51AB">
        <w:trPr>
          <w:trHeight w:val="360"/>
        </w:trPr>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50AF241" w14:textId="15F9AA26" w:rsidR="00DE12DF" w:rsidRPr="007D0769" w:rsidRDefault="00DE12DF" w:rsidP="00727602">
            <w:pPr>
              <w:textAlignment w:val="baseline"/>
              <w:rPr>
                <w:rFonts w:eastAsia="Times New Roman" w:cs="Arial"/>
                <w:szCs w:val="16"/>
              </w:rPr>
            </w:pPr>
            <w:r w:rsidRPr="007D0769">
              <w:rPr>
                <w:rFonts w:eastAsia="Times New Roman" w:cs="Arial"/>
                <w:szCs w:val="16"/>
              </w:rPr>
              <w:t xml:space="preserve">1. Number of findings of noncompliance the State identified during FFY 2022 (the period from July 1, 2022 through June 30, 2023). </w:t>
            </w:r>
          </w:p>
        </w:tc>
        <w:tc>
          <w:tcPr>
            <w:tcW w:w="4009" w:type="dxa"/>
            <w:tcBorders>
              <w:top w:val="single" w:sz="6" w:space="0" w:color="auto"/>
              <w:left w:val="single" w:sz="6" w:space="0" w:color="auto"/>
              <w:bottom w:val="single" w:sz="6" w:space="0" w:color="auto"/>
              <w:right w:val="single" w:sz="6" w:space="0" w:color="auto"/>
            </w:tcBorders>
            <w:shd w:val="clear" w:color="auto" w:fill="auto"/>
            <w:vAlign w:val="center"/>
          </w:tcPr>
          <w:p w14:paraId="0FFC5972" w14:textId="591CF621" w:rsidR="00DE12DF" w:rsidRPr="007D0769" w:rsidRDefault="0055390C" w:rsidP="00727602">
            <w:pPr>
              <w:jc w:val="center"/>
              <w:textAlignment w:val="baseline"/>
              <w:rPr>
                <w:rFonts w:eastAsia="Times New Roman" w:cs="Arial"/>
                <w:szCs w:val="16"/>
              </w:rPr>
            </w:pPr>
            <w:r>
              <w:rPr>
                <w:rFonts w:eastAsia="Times New Roman" w:cs="Arial"/>
                <w:szCs w:val="16"/>
              </w:rPr>
              <w:t>117</w:t>
            </w:r>
          </w:p>
        </w:tc>
      </w:tr>
      <w:tr w:rsidR="00F90937" w:rsidRPr="007D0769" w14:paraId="3A8E6B5C" w14:textId="77777777" w:rsidTr="00EC51AB">
        <w:trPr>
          <w:trHeight w:val="360"/>
        </w:trPr>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153F357" w14:textId="2782CE73" w:rsidR="00DE12DF" w:rsidRPr="007D0769" w:rsidRDefault="00DE12DF" w:rsidP="00727602">
            <w:pPr>
              <w:textAlignment w:val="baseline"/>
              <w:rPr>
                <w:rFonts w:eastAsia="Times New Roman" w:cs="Arial"/>
                <w:szCs w:val="16"/>
              </w:rPr>
            </w:pPr>
            <w:r w:rsidRPr="007D0769">
              <w:rPr>
                <w:rFonts w:eastAsia="Times New Roman" w:cs="Arial"/>
                <w:szCs w:val="16"/>
              </w:rPr>
              <w:t xml:space="preserve">2. Number of findings the State verified as timely corrected (corrected within one year from the date of written notification to the EIS program/provider of the finding) </w:t>
            </w:r>
          </w:p>
        </w:tc>
        <w:tc>
          <w:tcPr>
            <w:tcW w:w="4009" w:type="dxa"/>
            <w:tcBorders>
              <w:top w:val="single" w:sz="6" w:space="0" w:color="auto"/>
              <w:left w:val="single" w:sz="6" w:space="0" w:color="auto"/>
              <w:bottom w:val="single" w:sz="6" w:space="0" w:color="000000"/>
              <w:right w:val="single" w:sz="6" w:space="0" w:color="auto"/>
            </w:tcBorders>
            <w:shd w:val="clear" w:color="auto" w:fill="auto"/>
            <w:vAlign w:val="center"/>
          </w:tcPr>
          <w:p w14:paraId="2CAB1697" w14:textId="29E98100" w:rsidR="00DE12DF" w:rsidRPr="007D0769" w:rsidRDefault="0055390C" w:rsidP="00727602">
            <w:pPr>
              <w:jc w:val="center"/>
              <w:textAlignment w:val="baseline"/>
              <w:rPr>
                <w:rFonts w:eastAsia="Times New Roman" w:cs="Arial"/>
                <w:szCs w:val="16"/>
              </w:rPr>
            </w:pPr>
            <w:r>
              <w:rPr>
                <w:rFonts w:eastAsia="Times New Roman" w:cs="Arial"/>
                <w:szCs w:val="16"/>
              </w:rPr>
              <w:t>117</w:t>
            </w:r>
          </w:p>
        </w:tc>
      </w:tr>
      <w:tr w:rsidR="00F90937" w:rsidRPr="007D0769" w14:paraId="449EB656" w14:textId="77777777" w:rsidTr="00EC51AB">
        <w:trPr>
          <w:trHeight w:val="360"/>
        </w:trPr>
        <w:tc>
          <w:tcPr>
            <w:tcW w:w="6750" w:type="dxa"/>
            <w:tcBorders>
              <w:top w:val="single" w:sz="6" w:space="0" w:color="auto"/>
              <w:left w:val="single" w:sz="6" w:space="0" w:color="auto"/>
              <w:bottom w:val="single" w:sz="6" w:space="0" w:color="000000"/>
              <w:right w:val="single" w:sz="6" w:space="0" w:color="auto"/>
            </w:tcBorders>
            <w:shd w:val="clear" w:color="auto" w:fill="auto"/>
            <w:hideMark/>
          </w:tcPr>
          <w:p w14:paraId="04B96D5C" w14:textId="77777777" w:rsidR="00DE12DF" w:rsidRPr="007D0769" w:rsidRDefault="00DE12DF" w:rsidP="00727602">
            <w:pPr>
              <w:textAlignment w:val="baseline"/>
              <w:rPr>
                <w:rFonts w:eastAsia="Times New Roman" w:cs="Arial"/>
                <w:szCs w:val="16"/>
              </w:rPr>
            </w:pPr>
            <w:r w:rsidRPr="007D0769">
              <w:rPr>
                <w:rFonts w:eastAsia="Times New Roman" w:cs="Arial"/>
                <w:szCs w:val="16"/>
              </w:rPr>
              <w:t xml:space="preserve">3. Number of findings </w:t>
            </w:r>
            <w:r w:rsidRPr="007D0769">
              <w:rPr>
                <w:rFonts w:eastAsia="Times New Roman" w:cs="Arial"/>
                <w:szCs w:val="16"/>
                <w:u w:val="single"/>
              </w:rPr>
              <w:t>not</w:t>
            </w:r>
            <w:r w:rsidRPr="007D0769">
              <w:rPr>
                <w:rFonts w:eastAsia="Times New Roman" w:cs="Arial"/>
                <w:szCs w:val="16"/>
              </w:rPr>
              <w:t xml:space="preserve"> verified as corrected within one year </w:t>
            </w:r>
          </w:p>
        </w:tc>
        <w:tc>
          <w:tcPr>
            <w:tcW w:w="4009" w:type="dxa"/>
            <w:tcBorders>
              <w:top w:val="single" w:sz="6" w:space="0" w:color="auto"/>
              <w:left w:val="single" w:sz="6" w:space="0" w:color="auto"/>
              <w:bottom w:val="single" w:sz="6" w:space="0" w:color="000000"/>
              <w:right w:val="single" w:sz="6" w:space="0" w:color="auto"/>
            </w:tcBorders>
            <w:shd w:val="clear" w:color="auto" w:fill="auto"/>
            <w:vAlign w:val="center"/>
          </w:tcPr>
          <w:p w14:paraId="50E6E2FC" w14:textId="005A0512" w:rsidR="00DE12DF" w:rsidRPr="007D0769" w:rsidRDefault="0055390C" w:rsidP="00727602">
            <w:pPr>
              <w:jc w:val="center"/>
              <w:textAlignment w:val="baseline"/>
              <w:rPr>
                <w:rFonts w:eastAsia="Times New Roman" w:cs="Arial"/>
                <w:szCs w:val="16"/>
              </w:rPr>
            </w:pPr>
            <w:r>
              <w:rPr>
                <w:rFonts w:eastAsia="Times New Roman" w:cs="Arial"/>
                <w:szCs w:val="16"/>
              </w:rPr>
              <w:t>0</w:t>
            </w:r>
          </w:p>
        </w:tc>
      </w:tr>
    </w:tbl>
    <w:p w14:paraId="17C5E473" w14:textId="07C1F65C" w:rsidR="00DE12DF" w:rsidRPr="007D0769" w:rsidRDefault="00DE12DF" w:rsidP="00DE12DF">
      <w:pPr>
        <w:spacing w:after="0"/>
        <w:jc w:val="both"/>
        <w:textAlignment w:val="baseline"/>
        <w:rPr>
          <w:rFonts w:eastAsia="Times New Roman" w:cs="Arial"/>
          <w:szCs w:val="16"/>
        </w:rPr>
      </w:pPr>
    </w:p>
    <w:p w14:paraId="1DD9D623" w14:textId="7BE417D3" w:rsidR="00DE12DF" w:rsidRPr="007D0769" w:rsidRDefault="00DE12DF" w:rsidP="00DE12DF">
      <w:pPr>
        <w:rPr>
          <w:rFonts w:eastAsia="Times New Roman" w:cs="Arial"/>
          <w:b/>
          <w:bCs/>
          <w:szCs w:val="16"/>
        </w:rPr>
      </w:pPr>
      <w:r w:rsidRPr="007D0769">
        <w:rPr>
          <w:rFonts w:eastAsia="Times New Roman" w:cs="Arial"/>
          <w:b/>
          <w:bCs/>
          <w:szCs w:val="16"/>
        </w:rPr>
        <w:t>Subsequent Correction: Summary of All Outstanding Findings of Noncompliance identified in FFY 2022 Not Timely Corrected in FFY 2023 (corrected more than one year from identification of the noncompliance):  </w:t>
      </w:r>
    </w:p>
    <w:tbl>
      <w:tblPr>
        <w:tblW w:w="10718" w:type="dxa"/>
        <w:tblInd w:w="-8"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firstRow="1" w:lastRow="0" w:firstColumn="1" w:lastColumn="0" w:noHBand="0" w:noVBand="1"/>
        <w:tblCaption w:val="C12FONSC"/>
      </w:tblPr>
      <w:tblGrid>
        <w:gridCol w:w="6546"/>
        <w:gridCol w:w="4172"/>
      </w:tblGrid>
      <w:tr w:rsidR="006E5DBC" w:rsidRPr="007D0769" w14:paraId="44912275" w14:textId="77777777" w:rsidTr="00E719EB">
        <w:trPr>
          <w:trHeight w:val="369"/>
        </w:trPr>
        <w:tc>
          <w:tcPr>
            <w:tcW w:w="6546" w:type="dxa"/>
            <w:tcBorders>
              <w:top w:val="single" w:sz="6" w:space="0" w:color="auto"/>
              <w:left w:val="single" w:sz="6" w:space="0" w:color="auto"/>
              <w:bottom w:val="single" w:sz="6" w:space="0" w:color="auto"/>
              <w:right w:val="single" w:sz="6" w:space="0" w:color="auto"/>
            </w:tcBorders>
            <w:shd w:val="clear" w:color="auto" w:fill="auto"/>
            <w:hideMark/>
          </w:tcPr>
          <w:p w14:paraId="48F8C5B2" w14:textId="77777777" w:rsidR="00DE12DF" w:rsidRPr="007D0769" w:rsidRDefault="00DE12DF" w:rsidP="00727602">
            <w:pPr>
              <w:textAlignment w:val="baseline"/>
              <w:rPr>
                <w:rFonts w:eastAsia="Times New Roman" w:cs="Arial"/>
                <w:szCs w:val="16"/>
              </w:rPr>
            </w:pPr>
            <w:r w:rsidRPr="007D0769">
              <w:rPr>
                <w:rFonts w:eastAsia="Times New Roman" w:cs="Arial"/>
                <w:szCs w:val="16"/>
              </w:rPr>
              <w:t xml:space="preserve">4. Number of findings of noncompliance not timely corrected </w:t>
            </w:r>
          </w:p>
        </w:tc>
        <w:tc>
          <w:tcPr>
            <w:tcW w:w="4172" w:type="dxa"/>
            <w:tcBorders>
              <w:top w:val="single" w:sz="6" w:space="0" w:color="auto"/>
              <w:left w:val="single" w:sz="6" w:space="0" w:color="auto"/>
              <w:bottom w:val="single" w:sz="6" w:space="0" w:color="auto"/>
              <w:right w:val="single" w:sz="6" w:space="0" w:color="auto"/>
            </w:tcBorders>
            <w:shd w:val="clear" w:color="auto" w:fill="auto"/>
            <w:vAlign w:val="center"/>
          </w:tcPr>
          <w:p w14:paraId="0AC5145C" w14:textId="2B3ACAA9" w:rsidR="00DE12DF" w:rsidRPr="007D0769" w:rsidRDefault="006E5DBC" w:rsidP="00727602">
            <w:pPr>
              <w:jc w:val="center"/>
              <w:textAlignment w:val="baseline"/>
              <w:rPr>
                <w:rFonts w:eastAsia="Times New Roman" w:cs="Arial"/>
                <w:szCs w:val="16"/>
              </w:rPr>
            </w:pPr>
            <w:r>
              <w:rPr>
                <w:rFonts w:eastAsia="Times New Roman" w:cs="Arial"/>
                <w:szCs w:val="16"/>
              </w:rPr>
              <w:t>0</w:t>
            </w:r>
          </w:p>
        </w:tc>
      </w:tr>
      <w:tr w:rsidR="006E5DBC" w:rsidRPr="007D0769" w14:paraId="69EE1084"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hideMark/>
          </w:tcPr>
          <w:p w14:paraId="439FDEC0" w14:textId="77DFEAFB" w:rsidR="00DE12DF" w:rsidRPr="007D0769" w:rsidRDefault="00DE12DF" w:rsidP="00727602">
            <w:pPr>
              <w:textAlignment w:val="baseline"/>
              <w:rPr>
                <w:rFonts w:eastAsia="Times New Roman" w:cs="Arial"/>
                <w:szCs w:val="16"/>
              </w:rPr>
            </w:pPr>
            <w:r w:rsidRPr="007D0769">
              <w:rPr>
                <w:rFonts w:eastAsia="Times New Roman" w:cs="Arial"/>
                <w:szCs w:val="16"/>
              </w:rPr>
              <w:t>5. Number of written findings of noncompliance (Col. A) the State has verified as corrected beyond the one-year timeline ("subsequent correction") - as reported in Indicator 1, 7, 8A, 8B, 8C</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6731509A" w14:textId="6970D8FA" w:rsidR="00DE12DF" w:rsidRPr="007D0769" w:rsidRDefault="00DE12DF" w:rsidP="00727602">
            <w:pPr>
              <w:jc w:val="center"/>
              <w:textAlignment w:val="baseline"/>
              <w:rPr>
                <w:rFonts w:eastAsia="Times New Roman" w:cs="Arial"/>
                <w:szCs w:val="16"/>
              </w:rPr>
            </w:pPr>
          </w:p>
        </w:tc>
      </w:tr>
      <w:tr w:rsidR="00A95B74" w:rsidRPr="007D0769" w14:paraId="4AE28AA6"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75E493C6" w14:textId="77BE02D3" w:rsidR="00A95B74" w:rsidRPr="007D0769" w:rsidRDefault="00A95B74" w:rsidP="00A95B74">
            <w:pPr>
              <w:textAlignment w:val="baseline"/>
              <w:rPr>
                <w:rFonts w:eastAsia="Times New Roman" w:cs="Arial"/>
                <w:szCs w:val="16"/>
              </w:rPr>
            </w:pPr>
            <w:r>
              <w:rPr>
                <w:rFonts w:eastAsia="Times New Roman" w:cs="Arial"/>
                <w:szCs w:val="16"/>
              </w:rPr>
              <w:t>6a. Number of additional written findings of noncompliance (Col. B) the state has verified as corrected beyond the one-year timeline (“subsequent correction”) - Indicator 1</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5D06045F" w14:textId="5BDDFB65" w:rsidR="00A95B74" w:rsidRPr="00A95B74" w:rsidRDefault="00A95B74" w:rsidP="00A95B74">
            <w:pPr>
              <w:jc w:val="center"/>
              <w:textAlignment w:val="baseline"/>
              <w:rPr>
                <w:rFonts w:cs="Arial"/>
                <w:color w:val="00B0F0"/>
                <w:szCs w:val="16"/>
              </w:rPr>
            </w:pPr>
            <w:r w:rsidRPr="00EC51AB">
              <w:rPr>
                <w:rFonts w:cs="Arial"/>
                <w:szCs w:val="16"/>
              </w:rPr>
              <w:t>0</w:t>
            </w:r>
          </w:p>
        </w:tc>
      </w:tr>
      <w:tr w:rsidR="00A95B74" w:rsidRPr="007D0769" w14:paraId="013BC180"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61F0B0BD" w14:textId="2B5E41ED" w:rsidR="00A95B74" w:rsidRPr="007D0769" w:rsidRDefault="00A95B74" w:rsidP="00A95B74">
            <w:pPr>
              <w:textAlignment w:val="baseline"/>
              <w:rPr>
                <w:rFonts w:eastAsia="Times New Roman" w:cs="Arial"/>
                <w:szCs w:val="16"/>
              </w:rPr>
            </w:pPr>
            <w:r w:rsidRPr="00DD1AE0">
              <w:rPr>
                <w:rFonts w:eastAsia="Times New Roman" w:cs="Arial"/>
                <w:szCs w:val="16"/>
              </w:rPr>
              <w:t>6b. Number of additional written findings of noncompliance (Col. B) the state has verified as corrected beyond the one-year timeline (“subsequent correction”) - Indicator 7</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69B93539" w14:textId="719BA7DC" w:rsidR="00A95B74" w:rsidRPr="00EC51AB" w:rsidRDefault="00A95B74" w:rsidP="00A95B74">
            <w:pPr>
              <w:jc w:val="center"/>
              <w:textAlignment w:val="baseline"/>
              <w:rPr>
                <w:rFonts w:cs="Arial"/>
                <w:szCs w:val="16"/>
              </w:rPr>
            </w:pPr>
            <w:r w:rsidRPr="00EC51AB">
              <w:rPr>
                <w:rFonts w:cs="Arial"/>
                <w:szCs w:val="16"/>
              </w:rPr>
              <w:t>0</w:t>
            </w:r>
          </w:p>
        </w:tc>
      </w:tr>
      <w:tr w:rsidR="00A95B74" w:rsidRPr="007D0769" w14:paraId="7A092AD6"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6CCDC90D" w14:textId="34156EA6" w:rsidR="00A95B74" w:rsidRPr="007D0769" w:rsidRDefault="00A95B74" w:rsidP="00A95B74">
            <w:pPr>
              <w:textAlignment w:val="baseline"/>
              <w:rPr>
                <w:rFonts w:eastAsia="Times New Roman" w:cs="Arial"/>
                <w:szCs w:val="16"/>
              </w:rPr>
            </w:pPr>
            <w:r w:rsidRPr="00DD1AE0">
              <w:rPr>
                <w:rFonts w:eastAsia="Times New Roman" w:cs="Arial"/>
                <w:szCs w:val="16"/>
              </w:rPr>
              <w:t>6c. Number of additional written findings of noncompliance (Col. B) the state has verified as corrected beyond the one-year timeline (“subsequent correction”) - Indicator 8A</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2DA6FB73" w14:textId="2A6368DD" w:rsidR="00A95B74" w:rsidRPr="00EC51AB" w:rsidRDefault="00A95B74" w:rsidP="00A95B74">
            <w:pPr>
              <w:jc w:val="center"/>
              <w:textAlignment w:val="baseline"/>
              <w:rPr>
                <w:rFonts w:cs="Arial"/>
                <w:szCs w:val="16"/>
              </w:rPr>
            </w:pPr>
            <w:r w:rsidRPr="00EC51AB">
              <w:rPr>
                <w:rFonts w:cs="Arial"/>
                <w:szCs w:val="16"/>
              </w:rPr>
              <w:t>0</w:t>
            </w:r>
          </w:p>
        </w:tc>
      </w:tr>
      <w:tr w:rsidR="00A95B74" w:rsidRPr="007D0769" w14:paraId="7DAAFCAC"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4CBD5F8F" w14:textId="7EF14C0F" w:rsidR="00A95B74" w:rsidRPr="007D0769" w:rsidRDefault="00A95B74" w:rsidP="00A95B74">
            <w:pPr>
              <w:textAlignment w:val="baseline"/>
              <w:rPr>
                <w:rFonts w:eastAsia="Times New Roman" w:cs="Arial"/>
                <w:szCs w:val="16"/>
              </w:rPr>
            </w:pPr>
            <w:r w:rsidRPr="00DD1AE0">
              <w:rPr>
                <w:rFonts w:eastAsia="Times New Roman" w:cs="Arial"/>
                <w:szCs w:val="16"/>
              </w:rPr>
              <w:t>6d. Number of additional written findings of noncompliance (Col. B) the state has verified as corrected beyond the one-year timeline (“subsequent correction”) - Indicator 8B</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1807C8B1" w14:textId="1BC96919" w:rsidR="00A95B74" w:rsidRPr="00EC51AB" w:rsidRDefault="00A95B74" w:rsidP="00A95B74">
            <w:pPr>
              <w:jc w:val="center"/>
              <w:textAlignment w:val="baseline"/>
              <w:rPr>
                <w:rFonts w:cs="Arial"/>
                <w:szCs w:val="16"/>
              </w:rPr>
            </w:pPr>
            <w:r w:rsidRPr="00EC51AB">
              <w:rPr>
                <w:rFonts w:cs="Arial"/>
                <w:szCs w:val="16"/>
              </w:rPr>
              <w:t>0</w:t>
            </w:r>
          </w:p>
        </w:tc>
      </w:tr>
      <w:tr w:rsidR="00A95B74" w:rsidRPr="007D0769" w14:paraId="406B7D6F"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574B84E4" w14:textId="5BA5C384" w:rsidR="00A95B74" w:rsidRPr="007D0769" w:rsidRDefault="00A95B74" w:rsidP="00A95B74">
            <w:pPr>
              <w:textAlignment w:val="baseline"/>
              <w:rPr>
                <w:rFonts w:eastAsia="Times New Roman" w:cs="Arial"/>
                <w:szCs w:val="16"/>
              </w:rPr>
            </w:pPr>
            <w:r w:rsidRPr="00DD1AE0">
              <w:rPr>
                <w:rFonts w:eastAsia="Times New Roman" w:cs="Arial"/>
                <w:szCs w:val="16"/>
              </w:rPr>
              <w:t>6e. Number of additional written findings of noncompliance (Col. B) the state has verified as corrected beyond the one-year timeline (“subsequent correction”) - Indicator 8C</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0736125F" w14:textId="4034FE21" w:rsidR="00A95B74" w:rsidRPr="00EC51AB" w:rsidRDefault="00A95B74" w:rsidP="00A95B74">
            <w:pPr>
              <w:jc w:val="center"/>
              <w:textAlignment w:val="baseline"/>
              <w:rPr>
                <w:rFonts w:cs="Arial"/>
                <w:szCs w:val="16"/>
              </w:rPr>
            </w:pPr>
            <w:r w:rsidRPr="00EC51AB">
              <w:rPr>
                <w:rFonts w:cs="Arial"/>
                <w:szCs w:val="16"/>
              </w:rPr>
              <w:t>0</w:t>
            </w:r>
          </w:p>
        </w:tc>
      </w:tr>
      <w:tr w:rsidR="003A2D51" w:rsidRPr="007D0769" w14:paraId="148FD10C" w14:textId="77777777" w:rsidTr="00EC51AB">
        <w:trPr>
          <w:trHeight w:val="369"/>
        </w:trPr>
        <w:tc>
          <w:tcPr>
            <w:tcW w:w="6546" w:type="dxa"/>
            <w:tcBorders>
              <w:top w:val="single" w:sz="6" w:space="0" w:color="auto"/>
              <w:left w:val="single" w:sz="6" w:space="0" w:color="auto"/>
              <w:bottom w:val="single" w:sz="6" w:space="0" w:color="000000"/>
              <w:right w:val="single" w:sz="6" w:space="0" w:color="auto"/>
            </w:tcBorders>
            <w:shd w:val="clear" w:color="auto" w:fill="auto"/>
          </w:tcPr>
          <w:p w14:paraId="44D3F1DB" w14:textId="10DC8985" w:rsidR="003A2D51" w:rsidRPr="00DD1AE0" w:rsidRDefault="003A2D51" w:rsidP="003A2D51">
            <w:pPr>
              <w:textAlignment w:val="baseline"/>
              <w:rPr>
                <w:rFonts w:eastAsia="Times New Roman" w:cs="Arial"/>
                <w:szCs w:val="16"/>
              </w:rPr>
            </w:pPr>
            <w:r w:rsidRPr="00DD1AE0">
              <w:rPr>
                <w:rFonts w:eastAsia="Times New Roman" w:cs="Arial"/>
                <w:szCs w:val="16"/>
              </w:rPr>
              <w:t xml:space="preserve">6f. (optional) Number of written findings of noncompliance (Col. B) the state has verified as corrected beyond the one-year timeline (“subsequent correction”) - </w:t>
            </w:r>
            <w:r w:rsidRPr="00DA5B64">
              <w:rPr>
                <w:rFonts w:eastAsia="Calibri" w:cs="Arial"/>
                <w:bCs/>
                <w:szCs w:val="16"/>
              </w:rPr>
              <w:t xml:space="preserve">Other Areas - </w:t>
            </w:r>
            <w:r w:rsidRPr="00DA5B64">
              <w:rPr>
                <w:rFonts w:eastAsia="Calibri" w:cs="Arial"/>
                <w:bCs/>
                <w:szCs w:val="16"/>
                <w:u w:val="single"/>
              </w:rPr>
              <w:t>All other findings</w:t>
            </w:r>
          </w:p>
        </w:tc>
        <w:tc>
          <w:tcPr>
            <w:tcW w:w="4172" w:type="dxa"/>
            <w:tcBorders>
              <w:top w:val="single" w:sz="6" w:space="0" w:color="auto"/>
              <w:left w:val="single" w:sz="6" w:space="0" w:color="auto"/>
              <w:bottom w:val="single" w:sz="6" w:space="0" w:color="000000"/>
              <w:right w:val="single" w:sz="6" w:space="0" w:color="auto"/>
            </w:tcBorders>
            <w:shd w:val="clear" w:color="auto" w:fill="auto"/>
            <w:vAlign w:val="center"/>
          </w:tcPr>
          <w:p w14:paraId="11F23960" w14:textId="77946E6F" w:rsidR="003A2D51" w:rsidRPr="00EC51AB" w:rsidRDefault="003A2D51" w:rsidP="003A2D51">
            <w:pPr>
              <w:jc w:val="center"/>
              <w:textAlignment w:val="baseline"/>
              <w:rPr>
                <w:rFonts w:cs="Arial"/>
                <w:szCs w:val="16"/>
              </w:rPr>
            </w:pPr>
            <w:r w:rsidRPr="00EC51AB">
              <w:rPr>
                <w:rFonts w:cs="Arial"/>
                <w:szCs w:val="16"/>
              </w:rPr>
              <w:t>0</w:t>
            </w:r>
          </w:p>
        </w:tc>
      </w:tr>
      <w:tr w:rsidR="003A2D51" w:rsidRPr="007D0769" w14:paraId="07141246" w14:textId="77777777" w:rsidTr="00E719EB">
        <w:trPr>
          <w:trHeight w:val="369"/>
        </w:trPr>
        <w:tc>
          <w:tcPr>
            <w:tcW w:w="6546" w:type="dxa"/>
            <w:tcBorders>
              <w:top w:val="single" w:sz="6" w:space="0" w:color="auto"/>
              <w:left w:val="single" w:sz="6" w:space="0" w:color="auto"/>
              <w:bottom w:val="single" w:sz="6" w:space="0" w:color="auto"/>
              <w:right w:val="single" w:sz="6" w:space="0" w:color="auto"/>
            </w:tcBorders>
            <w:shd w:val="clear" w:color="auto" w:fill="auto"/>
            <w:hideMark/>
          </w:tcPr>
          <w:p w14:paraId="6CFC795C" w14:textId="145D7E3B" w:rsidR="003A2D51" w:rsidRPr="007D0769" w:rsidRDefault="003A2D51" w:rsidP="003A2D51">
            <w:pPr>
              <w:textAlignment w:val="baseline"/>
              <w:rPr>
                <w:rFonts w:eastAsia="Times New Roman" w:cs="Arial"/>
                <w:szCs w:val="16"/>
              </w:rPr>
            </w:pPr>
            <w:r>
              <w:rPr>
                <w:rFonts w:eastAsia="Times New Roman" w:cs="Arial"/>
                <w:szCs w:val="16"/>
              </w:rPr>
              <w:t xml:space="preserve">7. Number of findings </w:t>
            </w:r>
            <w:r w:rsidRPr="007D0769">
              <w:rPr>
                <w:rFonts w:eastAsia="Times New Roman" w:cs="Arial"/>
                <w:szCs w:val="16"/>
                <w:u w:val="single"/>
              </w:rPr>
              <w:t>not</w:t>
            </w:r>
            <w:r w:rsidRPr="007D0769">
              <w:rPr>
                <w:rFonts w:eastAsia="Times New Roman" w:cs="Arial"/>
                <w:szCs w:val="16"/>
              </w:rPr>
              <w:t xml:space="preserve"> yet verified as corrected </w:t>
            </w:r>
          </w:p>
        </w:tc>
        <w:tc>
          <w:tcPr>
            <w:tcW w:w="4172" w:type="dxa"/>
            <w:tcBorders>
              <w:top w:val="single" w:sz="6" w:space="0" w:color="auto"/>
              <w:left w:val="single" w:sz="6" w:space="0" w:color="auto"/>
              <w:bottom w:val="single" w:sz="6" w:space="0" w:color="auto"/>
              <w:right w:val="single" w:sz="6" w:space="0" w:color="auto"/>
            </w:tcBorders>
            <w:shd w:val="clear" w:color="auto" w:fill="auto"/>
            <w:vAlign w:val="center"/>
          </w:tcPr>
          <w:p w14:paraId="27498B4B" w14:textId="7E1376D7" w:rsidR="003A2D51" w:rsidRPr="00840417" w:rsidRDefault="003A2D51" w:rsidP="003A2D51">
            <w:pPr>
              <w:jc w:val="center"/>
              <w:textAlignment w:val="baseline"/>
              <w:rPr>
                <w:rFonts w:eastAsia="Times New Roman" w:cs="Arial"/>
                <w:szCs w:val="16"/>
              </w:rPr>
            </w:pPr>
            <w:r w:rsidRPr="00840417">
              <w:rPr>
                <w:rFonts w:eastAsia="Times New Roman" w:cs="Arial"/>
                <w:szCs w:val="16"/>
              </w:rPr>
              <w:t>0</w:t>
            </w:r>
          </w:p>
        </w:tc>
      </w:tr>
    </w:tbl>
    <w:p w14:paraId="5ED14496" w14:textId="171F7A0A" w:rsidR="00DE12DF" w:rsidRPr="007D0769" w:rsidRDefault="00DE12DF" w:rsidP="00DE12DF">
      <w:pPr>
        <w:spacing w:after="0"/>
        <w:ind w:left="15"/>
        <w:textAlignment w:val="baseline"/>
        <w:rPr>
          <w:rFonts w:eastAsia="Times New Roman" w:cs="Arial"/>
          <w:szCs w:val="16"/>
        </w:rPr>
      </w:pPr>
    </w:p>
    <w:p w14:paraId="1D4117B2" w14:textId="77777777" w:rsidR="00DE12DF" w:rsidRPr="007D0769" w:rsidRDefault="00DE12DF" w:rsidP="00DE12DF">
      <w:pPr>
        <w:spacing w:after="0"/>
        <w:textAlignment w:val="baseline"/>
        <w:rPr>
          <w:rFonts w:eastAsia="Times New Roman" w:cs="Arial"/>
          <w:szCs w:val="16"/>
        </w:rPr>
      </w:pPr>
      <w:r w:rsidRPr="007D0769">
        <w:rPr>
          <w:rFonts w:eastAsia="Times New Roman" w:cs="Arial"/>
          <w:b/>
          <w:bCs/>
          <w:szCs w:val="16"/>
        </w:rPr>
        <w:t>Subsequent correction:</w:t>
      </w:r>
      <w:r w:rsidRPr="007D0769">
        <w:rPr>
          <w:rFonts w:eastAsia="Times New Roman" w:cs="Arial"/>
          <w:szCs w:val="16"/>
        </w:rPr>
        <w:t xml:space="preserve"> 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 </w:t>
      </w:r>
    </w:p>
    <w:p w14:paraId="6D6F947D" w14:textId="5C6D0B58" w:rsidR="00AC243A" w:rsidRDefault="00AC243A" w:rsidP="00DE79BF">
      <w:pPr>
        <w:rPr>
          <w:rFonts w:eastAsia="Calibri" w:cs="Arial"/>
          <w:szCs w:val="16"/>
        </w:rPr>
      </w:pPr>
    </w:p>
    <w:p w14:paraId="4D41EE61" w14:textId="7EE12CF2" w:rsidR="00DE12DF" w:rsidRPr="00A40EE1" w:rsidRDefault="33129DF2" w:rsidP="00DE12DF">
      <w:pPr>
        <w:pStyle w:val="Heading2"/>
      </w:pPr>
      <w:r>
        <w:t>12 - OSEP Response</w:t>
      </w:r>
    </w:p>
    <w:p w14:paraId="7562D1CE" w14:textId="4BF3B09C" w:rsidR="00DE12DF" w:rsidRPr="00ED172B" w:rsidRDefault="00DE12DF" w:rsidP="00DE12DF">
      <w:pPr>
        <w:rPr>
          <w:color w:val="000000" w:themeColor="text1"/>
        </w:rPr>
      </w:pPr>
      <w:r w:rsidRPr="00ED172B">
        <w:rPr>
          <w:color w:val="000000" w:themeColor="text1"/>
        </w:rPr>
        <w:t>The State has established the baseline for this indicator, using data from FFY 2023, and OSEP accepts that baseline.</w:t>
      </w:r>
    </w:p>
    <w:p w14:paraId="6B17D27B" w14:textId="186DC46F" w:rsidR="00DE12DF" w:rsidRPr="00A40EE1" w:rsidRDefault="00DE12DF" w:rsidP="00DE12DF">
      <w:pPr>
        <w:pStyle w:val="Heading2"/>
      </w:pPr>
      <w:r>
        <w:t>12</w:t>
      </w:r>
      <w:r w:rsidRPr="00A40EE1">
        <w:t xml:space="preserve"> - Required Actions</w:t>
      </w:r>
    </w:p>
    <w:p w14:paraId="0BF2A243" w14:textId="5B89CABE" w:rsidR="00DE12DF" w:rsidRPr="00ED172B" w:rsidRDefault="00DE12DF" w:rsidP="00DE12DF">
      <w:pPr>
        <w:rPr>
          <w:color w:val="000000" w:themeColor="text1"/>
        </w:rPr>
      </w:pPr>
    </w:p>
    <w:p w14:paraId="4BAB81D9" w14:textId="77777777" w:rsidR="00E74450" w:rsidRDefault="00530511">
      <w:pPr>
        <w:spacing w:before="0" w:after="200" w:line="276" w:lineRule="auto"/>
        <w:rPr>
          <w:color w:val="000000" w:themeColor="text1"/>
        </w:rPr>
        <w:sectPr w:rsidR="00E74450" w:rsidSect="00BF3AB4">
          <w:footerReference w:type="default" r:id="rId13"/>
          <w:pgSz w:w="12240" w:h="15840"/>
          <w:pgMar w:top="720" w:right="720" w:bottom="720" w:left="720" w:header="0" w:footer="445" w:gutter="0"/>
          <w:cols w:space="720"/>
          <w:docGrid w:linePitch="218"/>
        </w:sectPr>
      </w:pPr>
      <w:r>
        <w:rPr>
          <w:color w:val="000000" w:themeColor="text1"/>
        </w:rPr>
        <w:br w:type="page"/>
      </w:r>
    </w:p>
    <w:p w14:paraId="76BEC9D6" w14:textId="69F0031E" w:rsidR="00D77E41" w:rsidRPr="00ED172B" w:rsidRDefault="00D77E41" w:rsidP="00D77E41">
      <w:pPr>
        <w:pStyle w:val="Heading1"/>
        <w:rPr>
          <w:color w:val="000000" w:themeColor="text1"/>
        </w:rPr>
      </w:pPr>
      <w:r w:rsidRPr="00ED172B">
        <w:rPr>
          <w:color w:val="000000" w:themeColor="text1"/>
        </w:rPr>
        <w:lastRenderedPageBreak/>
        <w:t>Certification</w:t>
      </w:r>
    </w:p>
    <w:p w14:paraId="10520843" w14:textId="77777777" w:rsidR="00D77E41" w:rsidRPr="00ED172B" w:rsidRDefault="00D77E41" w:rsidP="00186420">
      <w:pPr>
        <w:rPr>
          <w:color w:val="000000" w:themeColor="text1"/>
        </w:rPr>
      </w:pPr>
      <w:r w:rsidRPr="00ED172B">
        <w:rPr>
          <w:b/>
          <w:color w:val="000000" w:themeColor="text1"/>
          <w:sz w:val="20"/>
          <w:szCs w:val="20"/>
        </w:rPr>
        <w:t>Instructions</w:t>
      </w:r>
    </w:p>
    <w:p w14:paraId="3613AD02" w14:textId="11E354F6" w:rsidR="00D77E41" w:rsidRPr="00ED172B" w:rsidRDefault="008E67B7" w:rsidP="00D77E41">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14:paraId="2BE1082F" w14:textId="77777777" w:rsidR="00D77E41" w:rsidRPr="00ED172B" w:rsidRDefault="00D77E41" w:rsidP="00D77E41">
      <w:pPr>
        <w:rPr>
          <w:b/>
          <w:color w:val="000000" w:themeColor="text1"/>
        </w:rPr>
      </w:pPr>
      <w:r w:rsidRPr="00ED172B">
        <w:rPr>
          <w:b/>
          <w:color w:val="000000" w:themeColor="text1"/>
        </w:rPr>
        <w:t>Certify</w:t>
      </w:r>
    </w:p>
    <w:p w14:paraId="26D9ED56" w14:textId="77777777" w:rsidR="00D77E41"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14:paraId="09D4042A" w14:textId="77777777" w:rsidR="00404159"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14:paraId="71FBD425" w14:textId="593F2D58"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Lead Agency Director</w:t>
      </w:r>
    </w:p>
    <w:p w14:paraId="43D7F85B" w14:textId="7316ED68" w:rsidR="00D77E41" w:rsidRPr="00ED172B" w:rsidRDefault="00D77E41">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14:paraId="36D2D64A" w14:textId="366FE588"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14:paraId="4F5F890F" w14:textId="67BB69D9"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Julie Foster Hagan</w:t>
      </w:r>
    </w:p>
    <w:p w14:paraId="5F5311B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14:paraId="07D7540F" w14:textId="1BD8A4B8"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Assistant Secretary, Office for Citizens with Developmental Disabilities</w:t>
      </w:r>
    </w:p>
    <w:p w14:paraId="7E4BD4E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14:paraId="41D2DA4D" w14:textId="6133D61F"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Julie.Hagan@la.gov</w:t>
      </w:r>
    </w:p>
    <w:p w14:paraId="0B3F2655" w14:textId="77777777" w:rsidR="00FD047C" w:rsidRPr="00ED172B" w:rsidRDefault="00D77E41" w:rsidP="00D77E41">
      <w:pPr>
        <w:autoSpaceDE w:val="0"/>
        <w:autoSpaceDN w:val="0"/>
        <w:adjustRightInd w:val="0"/>
        <w:rPr>
          <w:rFonts w:cs="Arial"/>
          <w:bCs/>
          <w:color w:val="000000" w:themeColor="text1"/>
          <w:szCs w:val="16"/>
        </w:rPr>
      </w:pPr>
      <w:r w:rsidRPr="00ED172B">
        <w:rPr>
          <w:rFonts w:cs="Arial"/>
          <w:b/>
          <w:color w:val="000000" w:themeColor="text1"/>
          <w:szCs w:val="16"/>
        </w:rPr>
        <w:t>Phone:</w:t>
      </w:r>
      <w:r w:rsidR="00781A26" w:rsidRPr="00ED172B">
        <w:rPr>
          <w:rFonts w:cs="Arial"/>
          <w:bCs/>
          <w:color w:val="000000" w:themeColor="text1"/>
          <w:szCs w:val="16"/>
        </w:rPr>
        <w:t xml:space="preserve"> </w:t>
      </w:r>
    </w:p>
    <w:p w14:paraId="4532CFC2" w14:textId="1CAA54B5"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225-342-0095</w:t>
      </w:r>
      <w:bookmarkEnd w:id="61"/>
    </w:p>
    <w:p w14:paraId="4424A936" w14:textId="491BEDEB" w:rsidR="00FD047C" w:rsidRPr="00ED172B" w:rsidRDefault="00FD047C" w:rsidP="00FD047C">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14:paraId="4A3876CA" w14:textId="77777777" w:rsidR="00E74450" w:rsidRDefault="00FD047C" w:rsidP="00FD047C">
      <w:pPr>
        <w:autoSpaceDE w:val="0"/>
        <w:autoSpaceDN w:val="0"/>
        <w:adjustRightInd w:val="0"/>
        <w:rPr>
          <w:rFonts w:cs="Arial"/>
          <w:bCs/>
          <w:color w:val="000000" w:themeColor="text1"/>
          <w:szCs w:val="16"/>
        </w:rPr>
        <w:sectPr w:rsidR="00E74450" w:rsidSect="00E74450">
          <w:type w:val="continuous"/>
          <w:pgSz w:w="12240" w:h="15840"/>
          <w:pgMar w:top="720" w:right="720" w:bottom="720" w:left="720" w:header="0" w:footer="445" w:gutter="0"/>
          <w:cols w:space="720"/>
          <w:docGrid w:linePitch="218"/>
        </w:sectPr>
      </w:pPr>
      <w:r w:rsidRPr="00ED172B">
        <w:rPr>
          <w:rFonts w:cs="Arial"/>
          <w:bCs/>
          <w:color w:val="000000" w:themeColor="text1"/>
          <w:szCs w:val="16"/>
        </w:rPr>
        <w:t>04/22/25 11:55:12 AM</w:t>
      </w:r>
    </w:p>
    <w:p w14:paraId="1B762252" w14:textId="78A74289" w:rsidR="00224D8B" w:rsidRDefault="003E037C" w:rsidP="003E037C">
      <w:pPr>
        <w:spacing w:before="0" w:after="200" w:line="276" w:lineRule="auto"/>
        <w:rPr>
          <w:rFonts w:cs="Arial"/>
          <w:bCs/>
          <w:color w:val="000000" w:themeColor="text1"/>
          <w:szCs w:val="16"/>
        </w:rPr>
      </w:pPr>
      <w:r>
        <w:rPr>
          <w:rFonts w:cs="Arial"/>
          <w:bCs/>
          <w:color w:val="000000" w:themeColor="text1"/>
          <w:szCs w:val="16"/>
        </w:rPr>
        <w:br w:type="page"/>
      </w:r>
    </w:p>
    <w:p w14:paraId="4E835CB1" w14:textId="2655EDF5" w:rsidR="000135C2" w:rsidRDefault="000135C2" w:rsidP="000135C2">
      <w:pPr>
        <w:pStyle w:val="Heading1"/>
        <w:rPr>
          <w:color w:val="000000" w:themeColor="text1"/>
        </w:rPr>
      </w:pPr>
      <w:r w:rsidRPr="000135C2">
        <w:rPr>
          <w:color w:val="000000" w:themeColor="text1"/>
        </w:rPr>
        <w:lastRenderedPageBreak/>
        <w:t>Determination Enclosures</w:t>
      </w:r>
    </w:p>
    <w:p w14:paraId="2087E2B2" w14:textId="2B2050DE" w:rsidR="00BD55C7" w:rsidRPr="0035538B" w:rsidRDefault="000135C2" w:rsidP="00A255FA">
      <w:pPr>
        <w:pStyle w:val="Heading2"/>
      </w:pPr>
      <w:r w:rsidRPr="000135C2">
        <w:t>RDA Matrix</w:t>
      </w:r>
    </w:p>
    <w:p w14:paraId="696C928A" w14:textId="77777777" w:rsidR="00A255FA" w:rsidRPr="000D7F9F" w:rsidRDefault="00A255FA" w:rsidP="000D7F9F">
      <w:pPr>
        <w:rPr>
          <w:b/>
          <w:bCs/>
          <w:sz w:val="18"/>
          <w:szCs w:val="18"/>
        </w:rPr>
      </w:pPr>
    </w:p>
    <w:p w14:paraId="5F5AF6C8" w14:textId="04FDD654" w:rsidR="00A14B29" w:rsidRPr="0035538B" w:rsidRDefault="00A255FA" w:rsidP="00A255FA">
      <w:pPr>
        <w:jc w:val="center"/>
        <w:rPr>
          <w:b/>
          <w:bCs/>
          <w:sz w:val="32"/>
          <w:szCs w:val="32"/>
        </w:rPr>
      </w:pPr>
      <w:r w:rsidRPr="0035538B">
        <w:rPr>
          <w:b/>
          <w:bCs/>
          <w:sz w:val="32"/>
          <w:szCs w:val="32"/>
        </w:rPr>
        <w:t>Louisiana</w:t>
      </w:r>
    </w:p>
    <w:p w14:paraId="4DD0EA3B" w14:textId="7211ABF8" w:rsidR="000135C2" w:rsidRPr="00824D00" w:rsidRDefault="000135C2" w:rsidP="000135C2">
      <w:pPr>
        <w:jc w:val="center"/>
        <w:rPr>
          <w:sz w:val="32"/>
          <w:szCs w:val="32"/>
        </w:rPr>
      </w:pPr>
      <w:r w:rsidRPr="00824D00">
        <w:rPr>
          <w:sz w:val="32"/>
          <w:szCs w:val="32"/>
        </w:rPr>
        <w:t>2025 Part C Results-Driven Accountability Matrix</w:t>
      </w:r>
    </w:p>
    <w:p w14:paraId="62B6A556" w14:textId="24D69987" w:rsidR="000135C2" w:rsidRPr="00210AC6" w:rsidRDefault="000135C2" w:rsidP="000135C2">
      <w:pPr>
        <w:rPr>
          <w:rFonts w:cs="Arial"/>
          <w:b/>
          <w:bCs/>
          <w:szCs w:val="16"/>
        </w:rPr>
      </w:pPr>
      <w:r w:rsidRPr="00210AC6">
        <w:rPr>
          <w:rFonts w:cs="Arial"/>
          <w:b/>
          <w:bCs/>
          <w:szCs w:val="16"/>
        </w:rPr>
        <w:t xml:space="preserve">Results-Driven Accountability Percentage and Determination </w:t>
      </w:r>
      <w:r w:rsidR="00976350" w:rsidRPr="00976350">
        <w:rPr>
          <w:rFonts w:cs="Arial"/>
          <w:szCs w:val="16"/>
        </w:rPr>
        <w:t>(1)</w:t>
      </w:r>
    </w:p>
    <w:tbl>
      <w:tblPr>
        <w:tblStyle w:val="TableGrid1"/>
        <w:tblW w:w="5009" w:type="pct"/>
        <w:tblLook w:val="04A0" w:firstRow="1" w:lastRow="0" w:firstColumn="1" w:lastColumn="0" w:noHBand="0" w:noVBand="1"/>
        <w:tblCaption w:val="CENNSRSTRDACFFYSTAT"/>
      </w:tblPr>
      <w:tblGrid>
        <w:gridCol w:w="5404"/>
        <w:gridCol w:w="5405"/>
      </w:tblGrid>
      <w:tr w:rsidR="000135C2" w:rsidRPr="00210AC6" w14:paraId="250D2641" w14:textId="77777777">
        <w:trPr>
          <w:tblHeader/>
        </w:trPr>
        <w:tc>
          <w:tcPr>
            <w:tcW w:w="2500" w:type="pct"/>
          </w:tcPr>
          <w:p w14:paraId="13F1AE29" w14:textId="77777777" w:rsidR="000135C2" w:rsidRPr="00210AC6" w:rsidRDefault="000135C2">
            <w:pPr>
              <w:rPr>
                <w:rFonts w:cs="Arial"/>
                <w:b/>
                <w:bCs/>
                <w:szCs w:val="16"/>
              </w:rPr>
            </w:pPr>
            <w:r w:rsidRPr="00210AC6">
              <w:rPr>
                <w:rFonts w:cs="Arial"/>
                <w:b/>
                <w:bCs/>
                <w:szCs w:val="16"/>
              </w:rPr>
              <w:t>Percentage (%)</w:t>
            </w:r>
          </w:p>
        </w:tc>
        <w:tc>
          <w:tcPr>
            <w:tcW w:w="2500" w:type="pct"/>
          </w:tcPr>
          <w:p w14:paraId="39B30D2C" w14:textId="77777777" w:rsidR="000135C2" w:rsidRPr="00210AC6" w:rsidRDefault="000135C2">
            <w:pPr>
              <w:rPr>
                <w:rFonts w:cs="Arial"/>
                <w:b/>
                <w:bCs/>
                <w:szCs w:val="16"/>
              </w:rPr>
            </w:pPr>
            <w:r w:rsidRPr="00210AC6">
              <w:rPr>
                <w:rFonts w:cs="Arial"/>
                <w:b/>
                <w:bCs/>
                <w:szCs w:val="16"/>
              </w:rPr>
              <w:t>Determination</w:t>
            </w:r>
          </w:p>
        </w:tc>
      </w:tr>
      <w:tr w:rsidR="00EA2984" w:rsidRPr="00210AC6" w14:paraId="3F9DCD5A" w14:textId="77777777">
        <w:tc>
          <w:tcPr>
            <w:tcW w:w="2500" w:type="pct"/>
          </w:tcPr>
          <w:p w14:paraId="04815A38" w14:textId="3638D13B" w:rsidR="00EA2984" w:rsidRPr="00210AC6" w:rsidRDefault="00EA2984" w:rsidP="00EA2984">
            <w:pPr>
              <w:rPr>
                <w:rFonts w:cs="Arial"/>
                <w:szCs w:val="16"/>
              </w:rPr>
            </w:pPr>
            <w:r w:rsidRPr="00E9436C">
              <w:t>81.25%</w:t>
            </w:r>
          </w:p>
        </w:tc>
        <w:tc>
          <w:tcPr>
            <w:tcW w:w="2500" w:type="pct"/>
          </w:tcPr>
          <w:p w14:paraId="716EB835" w14:textId="1F97A48D" w:rsidR="00EA2984" w:rsidRPr="00210AC6" w:rsidRDefault="00EA2984" w:rsidP="00EA2984">
            <w:pPr>
              <w:rPr>
                <w:rFonts w:cs="Arial"/>
                <w:szCs w:val="16"/>
              </w:rPr>
            </w:pPr>
            <w:r w:rsidRPr="00E9436C">
              <w:t>Meets Requirements</w:t>
            </w:r>
          </w:p>
        </w:tc>
      </w:tr>
    </w:tbl>
    <w:p w14:paraId="23DBD887" w14:textId="77777777" w:rsidR="000135C2" w:rsidRPr="00210AC6" w:rsidRDefault="000135C2" w:rsidP="000135C2">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CENNSRSTCMPCFFYSTAT"/>
      </w:tblPr>
      <w:tblGrid>
        <w:gridCol w:w="2724"/>
        <w:gridCol w:w="2724"/>
        <w:gridCol w:w="2722"/>
        <w:gridCol w:w="2631"/>
      </w:tblGrid>
      <w:tr w:rsidR="000135C2" w:rsidRPr="00210AC6" w14:paraId="44510F9C" w14:textId="77777777" w:rsidTr="005E363D">
        <w:trPr>
          <w:tblHeader/>
        </w:trPr>
        <w:tc>
          <w:tcPr>
            <w:tcW w:w="1261" w:type="pct"/>
          </w:tcPr>
          <w:p w14:paraId="440E7CEC" w14:textId="2AEFCE73" w:rsidR="000135C2" w:rsidRPr="00210AC6" w:rsidRDefault="00E23C65">
            <w:pPr>
              <w:rPr>
                <w:rFonts w:cs="Arial"/>
                <w:b/>
                <w:bCs/>
                <w:szCs w:val="16"/>
              </w:rPr>
            </w:pPr>
            <w:r>
              <w:rPr>
                <w:rFonts w:cs="Arial"/>
                <w:b/>
                <w:bCs/>
                <w:szCs w:val="16"/>
              </w:rPr>
              <w:t xml:space="preserve">Section </w:t>
            </w:r>
          </w:p>
        </w:tc>
        <w:tc>
          <w:tcPr>
            <w:tcW w:w="1261" w:type="pct"/>
          </w:tcPr>
          <w:p w14:paraId="7ADB4751" w14:textId="77777777" w:rsidR="000135C2" w:rsidRPr="00210AC6" w:rsidRDefault="000135C2">
            <w:pPr>
              <w:rPr>
                <w:rFonts w:cs="Arial"/>
                <w:b/>
                <w:bCs/>
                <w:szCs w:val="16"/>
              </w:rPr>
            </w:pPr>
            <w:r w:rsidRPr="00210AC6">
              <w:rPr>
                <w:rFonts w:cs="Arial"/>
                <w:b/>
                <w:bCs/>
                <w:szCs w:val="16"/>
              </w:rPr>
              <w:t>Total Points Available</w:t>
            </w:r>
          </w:p>
        </w:tc>
        <w:tc>
          <w:tcPr>
            <w:tcW w:w="1260" w:type="pct"/>
          </w:tcPr>
          <w:p w14:paraId="494BE99C" w14:textId="77777777" w:rsidR="000135C2" w:rsidRPr="00210AC6" w:rsidRDefault="000135C2">
            <w:pPr>
              <w:rPr>
                <w:rFonts w:cs="Arial"/>
                <w:b/>
                <w:bCs/>
                <w:szCs w:val="16"/>
              </w:rPr>
            </w:pPr>
            <w:r w:rsidRPr="00210AC6">
              <w:rPr>
                <w:rFonts w:cs="Arial"/>
                <w:b/>
                <w:bCs/>
                <w:szCs w:val="16"/>
              </w:rPr>
              <w:t>Points Earned</w:t>
            </w:r>
          </w:p>
        </w:tc>
        <w:tc>
          <w:tcPr>
            <w:tcW w:w="1218" w:type="pct"/>
          </w:tcPr>
          <w:p w14:paraId="004DD0D4" w14:textId="77777777" w:rsidR="000135C2" w:rsidRPr="00210AC6" w:rsidRDefault="000135C2">
            <w:pPr>
              <w:rPr>
                <w:rFonts w:cs="Arial"/>
                <w:b/>
                <w:bCs/>
                <w:szCs w:val="16"/>
              </w:rPr>
            </w:pPr>
            <w:r w:rsidRPr="00210AC6">
              <w:rPr>
                <w:rFonts w:cs="Arial"/>
                <w:b/>
                <w:bCs/>
                <w:szCs w:val="16"/>
              </w:rPr>
              <w:t>Score (%)</w:t>
            </w:r>
          </w:p>
        </w:tc>
      </w:tr>
      <w:tr w:rsidR="005E363D" w:rsidRPr="00210AC6" w14:paraId="397054B2" w14:textId="77777777" w:rsidTr="005E363D">
        <w:tc>
          <w:tcPr>
            <w:tcW w:w="1261" w:type="pct"/>
          </w:tcPr>
          <w:p w14:paraId="74D0AF28" w14:textId="77777777" w:rsidR="005E363D" w:rsidRPr="00210AC6" w:rsidRDefault="005E363D" w:rsidP="005E363D">
            <w:pPr>
              <w:rPr>
                <w:rFonts w:cs="Arial"/>
                <w:b/>
                <w:bCs/>
                <w:szCs w:val="16"/>
              </w:rPr>
            </w:pPr>
            <w:r w:rsidRPr="00210AC6">
              <w:rPr>
                <w:rFonts w:cs="Arial"/>
                <w:b/>
                <w:bCs/>
                <w:szCs w:val="16"/>
              </w:rPr>
              <w:t>Results</w:t>
            </w:r>
          </w:p>
        </w:tc>
        <w:tc>
          <w:tcPr>
            <w:tcW w:w="1261" w:type="pct"/>
          </w:tcPr>
          <w:p w14:paraId="04DC97CF" w14:textId="64F9E371" w:rsidR="005E363D" w:rsidRPr="00210AC6" w:rsidRDefault="005E363D" w:rsidP="005E363D">
            <w:pPr>
              <w:rPr>
                <w:rFonts w:cs="Arial"/>
                <w:noProof/>
                <w:szCs w:val="16"/>
              </w:rPr>
            </w:pPr>
            <w:r w:rsidRPr="009E3CB1">
              <w:t>8</w:t>
            </w:r>
          </w:p>
        </w:tc>
        <w:tc>
          <w:tcPr>
            <w:tcW w:w="1260" w:type="pct"/>
          </w:tcPr>
          <w:p w14:paraId="1DB8807F" w14:textId="14C73F50" w:rsidR="005E363D" w:rsidRPr="00210AC6" w:rsidRDefault="005E363D" w:rsidP="005E363D">
            <w:pPr>
              <w:rPr>
                <w:rFonts w:cs="Arial"/>
                <w:szCs w:val="16"/>
              </w:rPr>
            </w:pPr>
            <w:r w:rsidRPr="009E3CB1">
              <w:t>5</w:t>
            </w:r>
          </w:p>
        </w:tc>
        <w:tc>
          <w:tcPr>
            <w:tcW w:w="1218" w:type="pct"/>
          </w:tcPr>
          <w:p w14:paraId="4A2646A0" w14:textId="15C11718" w:rsidR="005E363D" w:rsidRPr="00210AC6" w:rsidRDefault="005E363D" w:rsidP="005E363D">
            <w:pPr>
              <w:rPr>
                <w:rFonts w:cs="Arial"/>
                <w:szCs w:val="16"/>
              </w:rPr>
            </w:pPr>
            <w:r w:rsidRPr="009E3CB1">
              <w:t>62.50%</w:t>
            </w:r>
          </w:p>
        </w:tc>
      </w:tr>
      <w:tr w:rsidR="005E363D" w:rsidRPr="00210AC6" w14:paraId="3B79C149" w14:textId="77777777" w:rsidTr="005E363D">
        <w:tc>
          <w:tcPr>
            <w:tcW w:w="1261" w:type="pct"/>
          </w:tcPr>
          <w:p w14:paraId="256E1213" w14:textId="77777777" w:rsidR="005E363D" w:rsidRPr="00210AC6" w:rsidRDefault="005E363D" w:rsidP="005E363D">
            <w:pPr>
              <w:rPr>
                <w:rFonts w:cs="Arial"/>
                <w:b/>
                <w:bCs/>
                <w:szCs w:val="16"/>
              </w:rPr>
            </w:pPr>
            <w:r w:rsidRPr="00210AC6">
              <w:rPr>
                <w:rFonts w:cs="Arial"/>
                <w:b/>
                <w:bCs/>
                <w:szCs w:val="16"/>
              </w:rPr>
              <w:t>Compliance</w:t>
            </w:r>
          </w:p>
        </w:tc>
        <w:tc>
          <w:tcPr>
            <w:tcW w:w="1261" w:type="pct"/>
          </w:tcPr>
          <w:p w14:paraId="0AB81B7A" w14:textId="28118D00" w:rsidR="005E363D" w:rsidRPr="00210AC6" w:rsidRDefault="005E363D" w:rsidP="005E363D">
            <w:pPr>
              <w:rPr>
                <w:rFonts w:cs="Arial"/>
                <w:szCs w:val="16"/>
              </w:rPr>
            </w:pPr>
            <w:r w:rsidRPr="009E3CB1">
              <w:t>18</w:t>
            </w:r>
          </w:p>
        </w:tc>
        <w:tc>
          <w:tcPr>
            <w:tcW w:w="1260" w:type="pct"/>
          </w:tcPr>
          <w:p w14:paraId="5402D01D" w14:textId="1557C1A3" w:rsidR="005E363D" w:rsidRPr="00210AC6" w:rsidRDefault="005E363D" w:rsidP="005E363D">
            <w:pPr>
              <w:rPr>
                <w:rFonts w:cs="Arial"/>
                <w:szCs w:val="16"/>
              </w:rPr>
            </w:pPr>
            <w:r w:rsidRPr="009E3CB1">
              <w:t>18</w:t>
            </w:r>
          </w:p>
        </w:tc>
        <w:tc>
          <w:tcPr>
            <w:tcW w:w="1218" w:type="pct"/>
          </w:tcPr>
          <w:p w14:paraId="0AF6DC9A" w14:textId="17AC6D6F" w:rsidR="005E363D" w:rsidRPr="00210AC6" w:rsidRDefault="005E363D" w:rsidP="005E363D">
            <w:pPr>
              <w:rPr>
                <w:rFonts w:cs="Arial"/>
                <w:szCs w:val="16"/>
              </w:rPr>
            </w:pPr>
            <w:r w:rsidRPr="009E3CB1">
              <w:t>100.00%</w:t>
            </w:r>
          </w:p>
        </w:tc>
      </w:tr>
    </w:tbl>
    <w:p w14:paraId="41A7EDC9" w14:textId="77777777" w:rsidR="006362E6" w:rsidRDefault="006362E6" w:rsidP="000135C2">
      <w:pPr>
        <w:rPr>
          <w:rFonts w:cs="Arial"/>
          <w:b/>
          <w:bCs/>
          <w:szCs w:val="16"/>
        </w:rPr>
      </w:pPr>
    </w:p>
    <w:p w14:paraId="48F8CFFB" w14:textId="2AFF4E05" w:rsidR="000135C2" w:rsidRDefault="000135C2" w:rsidP="000135C2">
      <w:pPr>
        <w:rPr>
          <w:rFonts w:cs="Arial"/>
          <w:b/>
          <w:bCs/>
          <w:szCs w:val="16"/>
        </w:rPr>
      </w:pPr>
      <w:r w:rsidRPr="00210AC6">
        <w:rPr>
          <w:rFonts w:cs="Arial"/>
          <w:b/>
          <w:bCs/>
          <w:szCs w:val="16"/>
        </w:rPr>
        <w:t>2025 Part C Results Matrix</w:t>
      </w:r>
    </w:p>
    <w:p w14:paraId="7F8D5EA3" w14:textId="77777777" w:rsidR="00E34D8D" w:rsidRPr="00210AC6" w:rsidRDefault="00E34D8D" w:rsidP="000135C2">
      <w:pPr>
        <w:rPr>
          <w:rFonts w:cs="Arial"/>
          <w:b/>
          <w:bCs/>
          <w:szCs w:val="16"/>
        </w:rPr>
      </w:pPr>
    </w:p>
    <w:p w14:paraId="47413CEB" w14:textId="77777777" w:rsidR="004255C0" w:rsidRPr="004255C0" w:rsidRDefault="004255C0" w:rsidP="004255C0">
      <w:pPr>
        <w:rPr>
          <w:rFonts w:cs="Arial"/>
          <w:b/>
          <w:bCs/>
          <w:szCs w:val="16"/>
        </w:rPr>
      </w:pPr>
      <w:r w:rsidRPr="004255C0">
        <w:rPr>
          <w:rFonts w:cs="Arial"/>
          <w:b/>
          <w:bCs/>
          <w:szCs w:val="16"/>
        </w:rPr>
        <w:t>I. Data Quality</w:t>
      </w:r>
    </w:p>
    <w:p w14:paraId="0C4FAE72" w14:textId="1F60D249" w:rsidR="000135C2" w:rsidRPr="00210AC6" w:rsidRDefault="004255C0" w:rsidP="004255C0">
      <w:pPr>
        <w:rPr>
          <w:rFonts w:cs="Arial"/>
          <w:b/>
          <w:bCs/>
          <w:szCs w:val="16"/>
        </w:rPr>
      </w:pPr>
      <w:r w:rsidRPr="004255C0">
        <w:rPr>
          <w:rFonts w:cs="Arial"/>
          <w:b/>
          <w:bCs/>
          <w:szCs w:val="16"/>
        </w:rPr>
        <w:t>(a) Data Completeness: The percent of children included in your State’s 2023 Outcomes Data (Indicator C3)</w:t>
      </w:r>
    </w:p>
    <w:tbl>
      <w:tblPr>
        <w:tblStyle w:val="TableGrid1"/>
        <w:tblW w:w="5000" w:type="pct"/>
        <w:tblLayout w:type="fixed"/>
        <w:tblLook w:val="04A0" w:firstRow="1" w:lastRow="0" w:firstColumn="1" w:lastColumn="0" w:noHBand="0" w:noVBand="1"/>
        <w:tblCaption w:val="C03CPDQ"/>
      </w:tblPr>
      <w:tblGrid>
        <w:gridCol w:w="8004"/>
        <w:gridCol w:w="2786"/>
      </w:tblGrid>
      <w:tr w:rsidR="0025401C" w:rsidRPr="00210AC6" w14:paraId="5DB158AC" w14:textId="77777777" w:rsidTr="0025401C">
        <w:trPr>
          <w:trHeight w:val="332"/>
        </w:trPr>
        <w:tc>
          <w:tcPr>
            <w:tcW w:w="3709" w:type="pct"/>
          </w:tcPr>
          <w:p w14:paraId="099E3031" w14:textId="7E92C028" w:rsidR="0025401C" w:rsidRPr="00210AC6" w:rsidRDefault="0025401C" w:rsidP="008B3495">
            <w:pPr>
              <w:rPr>
                <w:rFonts w:cs="Arial"/>
                <w:b/>
                <w:bCs/>
                <w:szCs w:val="16"/>
              </w:rPr>
            </w:pPr>
            <w:r w:rsidRPr="00DC3177">
              <w:t>Number of Children Reported in Indicator C3 (i.e., outcome data)</w:t>
            </w:r>
          </w:p>
        </w:tc>
        <w:tc>
          <w:tcPr>
            <w:tcW w:w="1291" w:type="pct"/>
          </w:tcPr>
          <w:p w14:paraId="14AB8BB0" w14:textId="3C5B9E51" w:rsidR="0025401C" w:rsidRPr="00210AC6" w:rsidRDefault="0025401C" w:rsidP="008B3495">
            <w:pPr>
              <w:rPr>
                <w:rFonts w:cs="Arial"/>
                <w:szCs w:val="16"/>
              </w:rPr>
            </w:pPr>
            <w:r w:rsidRPr="00CF63C0">
              <w:rPr>
                <w:rFonts w:cs="Arial"/>
                <w:szCs w:val="16"/>
              </w:rPr>
              <w:t>2,935</w:t>
            </w:r>
          </w:p>
        </w:tc>
      </w:tr>
      <w:tr w:rsidR="0025401C" w:rsidRPr="00210AC6" w14:paraId="6F64E3BE" w14:textId="77777777" w:rsidTr="0025401C">
        <w:trPr>
          <w:trHeight w:val="332"/>
        </w:trPr>
        <w:tc>
          <w:tcPr>
            <w:tcW w:w="3709" w:type="pct"/>
          </w:tcPr>
          <w:p w14:paraId="77A3B864" w14:textId="3D9C0E86" w:rsidR="0025401C" w:rsidRPr="00210AC6" w:rsidRDefault="0025401C" w:rsidP="008B3495">
            <w:pPr>
              <w:rPr>
                <w:rFonts w:cs="Arial"/>
                <w:b/>
                <w:bCs/>
                <w:szCs w:val="16"/>
              </w:rPr>
            </w:pPr>
            <w:r w:rsidRPr="00DC3177">
              <w:t>Number of Children Reported Exiting in 618 Data (i.e., 618 exiting data)</w:t>
            </w:r>
          </w:p>
        </w:tc>
        <w:tc>
          <w:tcPr>
            <w:tcW w:w="1291" w:type="pct"/>
          </w:tcPr>
          <w:p w14:paraId="5EE5C279" w14:textId="04907E5F" w:rsidR="0025401C" w:rsidRPr="00210AC6" w:rsidRDefault="0025401C" w:rsidP="008B3495">
            <w:pPr>
              <w:rPr>
                <w:rFonts w:cs="Arial"/>
                <w:szCs w:val="16"/>
              </w:rPr>
            </w:pPr>
            <w:r w:rsidRPr="00E9667F">
              <w:rPr>
                <w:rFonts w:cs="Arial"/>
                <w:szCs w:val="16"/>
              </w:rPr>
              <w:t>5,742</w:t>
            </w:r>
          </w:p>
        </w:tc>
      </w:tr>
      <w:tr w:rsidR="0025401C" w:rsidRPr="00210AC6" w14:paraId="18255402" w14:textId="77777777" w:rsidTr="0025401C">
        <w:trPr>
          <w:trHeight w:val="278"/>
        </w:trPr>
        <w:tc>
          <w:tcPr>
            <w:tcW w:w="3709" w:type="pct"/>
          </w:tcPr>
          <w:p w14:paraId="0C81F52D" w14:textId="5DE6FAEA" w:rsidR="0025401C" w:rsidRPr="00210AC6" w:rsidRDefault="0025401C" w:rsidP="008B3495">
            <w:pPr>
              <w:rPr>
                <w:rFonts w:cs="Arial"/>
                <w:b/>
                <w:bCs/>
                <w:szCs w:val="16"/>
              </w:rPr>
            </w:pPr>
            <w:r w:rsidRPr="00DC3177">
              <w:t>Percentage of Children Exiting who are Included in Outcome Data (%)</w:t>
            </w:r>
          </w:p>
        </w:tc>
        <w:tc>
          <w:tcPr>
            <w:tcW w:w="1291" w:type="pct"/>
          </w:tcPr>
          <w:p w14:paraId="70A76A47" w14:textId="3C259405" w:rsidR="0025401C" w:rsidRPr="00210AC6" w:rsidRDefault="0025401C" w:rsidP="008B3495">
            <w:pPr>
              <w:rPr>
                <w:rFonts w:cs="Arial"/>
                <w:szCs w:val="16"/>
              </w:rPr>
            </w:pPr>
            <w:r w:rsidRPr="00376AC6">
              <w:rPr>
                <w:rFonts w:cs="Arial"/>
                <w:szCs w:val="16"/>
              </w:rPr>
              <w:t>51.11</w:t>
            </w:r>
          </w:p>
        </w:tc>
      </w:tr>
      <w:tr w:rsidR="0025401C" w:rsidRPr="00210AC6" w14:paraId="35DCFD1D" w14:textId="77777777" w:rsidTr="0025401C">
        <w:trPr>
          <w:trHeight w:val="242"/>
        </w:trPr>
        <w:tc>
          <w:tcPr>
            <w:tcW w:w="3709" w:type="pct"/>
          </w:tcPr>
          <w:p w14:paraId="6B149A9B" w14:textId="57CC85C4" w:rsidR="0025401C" w:rsidRPr="00210AC6" w:rsidRDefault="0025401C">
            <w:pPr>
              <w:rPr>
                <w:rFonts w:cs="Arial"/>
                <w:b/>
                <w:bCs/>
                <w:szCs w:val="16"/>
              </w:rPr>
            </w:pPr>
            <w:r w:rsidRPr="00083FA7">
              <w:rPr>
                <w:rFonts w:cs="Arial"/>
                <w:b/>
                <w:bCs/>
                <w:szCs w:val="16"/>
              </w:rPr>
              <w:t xml:space="preserve">Data Completeness Score </w:t>
            </w:r>
            <w:r w:rsidR="00976350" w:rsidRPr="009170B4">
              <w:rPr>
                <w:rFonts w:cs="Arial"/>
                <w:szCs w:val="16"/>
              </w:rPr>
              <w:t>(</w:t>
            </w:r>
            <w:r w:rsidR="00976350">
              <w:rPr>
                <w:szCs w:val="16"/>
              </w:rPr>
              <w:t>p</w:t>
            </w:r>
            <w:r w:rsidR="00976350" w:rsidRPr="001D4A43">
              <w:rPr>
                <w:szCs w:val="16"/>
              </w:rPr>
              <w:t>lease see Appendix A for a detailed description of this calculation</w:t>
            </w:r>
            <w:r w:rsidR="00976350">
              <w:rPr>
                <w:szCs w:val="16"/>
              </w:rPr>
              <w:t>)</w:t>
            </w:r>
          </w:p>
        </w:tc>
        <w:tc>
          <w:tcPr>
            <w:tcW w:w="1291" w:type="pct"/>
          </w:tcPr>
          <w:p w14:paraId="107C09E6" w14:textId="375E5281" w:rsidR="0025401C" w:rsidRPr="00210AC6" w:rsidRDefault="0025401C">
            <w:pPr>
              <w:rPr>
                <w:rFonts w:cs="Arial"/>
                <w:szCs w:val="16"/>
              </w:rPr>
            </w:pPr>
            <w:r w:rsidRPr="0025401C">
              <w:rPr>
                <w:rFonts w:cs="Arial"/>
                <w:szCs w:val="16"/>
              </w:rPr>
              <w:t>1</w:t>
            </w:r>
          </w:p>
        </w:tc>
      </w:tr>
    </w:tbl>
    <w:p w14:paraId="774C49BA" w14:textId="60700466" w:rsidR="006362E6" w:rsidRDefault="006362E6" w:rsidP="007C3ED8">
      <w:pPr>
        <w:rPr>
          <w:rFonts w:cs="Arial"/>
          <w:b/>
          <w:bCs/>
          <w:szCs w:val="16"/>
        </w:rPr>
      </w:pPr>
      <w:r w:rsidRPr="004255C0">
        <w:rPr>
          <w:rFonts w:cs="Arial"/>
          <w:b/>
          <w:bCs/>
          <w:szCs w:val="16"/>
        </w:rPr>
        <w:t>(b) Data Anomalies: Anomalies in your State’s FFY 2023 Outcomes Data</w:t>
      </w:r>
    </w:p>
    <w:tbl>
      <w:tblPr>
        <w:tblStyle w:val="TableGrid1"/>
        <w:tblW w:w="5000" w:type="pct"/>
        <w:tblLayout w:type="fixed"/>
        <w:tblLook w:val="04A0" w:firstRow="1" w:lastRow="0" w:firstColumn="1" w:lastColumn="0" w:noHBand="0" w:noVBand="1"/>
        <w:tblCaption w:val="C03ANOMSCRDQ"/>
      </w:tblPr>
      <w:tblGrid>
        <w:gridCol w:w="8004"/>
        <w:gridCol w:w="2786"/>
      </w:tblGrid>
      <w:tr w:rsidR="006362E6" w:rsidRPr="00210AC6" w14:paraId="33F31A15" w14:textId="77777777">
        <w:trPr>
          <w:trHeight w:val="242"/>
        </w:trPr>
        <w:tc>
          <w:tcPr>
            <w:tcW w:w="3709" w:type="pct"/>
          </w:tcPr>
          <w:p w14:paraId="20D4245E" w14:textId="5C34931B" w:rsidR="006362E6" w:rsidRPr="00210AC6" w:rsidRDefault="006362E6" w:rsidP="005032AF">
            <w:pPr>
              <w:tabs>
                <w:tab w:val="left" w:pos="2580"/>
              </w:tabs>
              <w:rPr>
                <w:rFonts w:cs="Arial"/>
                <w:b/>
                <w:bCs/>
                <w:szCs w:val="16"/>
              </w:rPr>
            </w:pPr>
            <w:r w:rsidRPr="00083FA7">
              <w:rPr>
                <w:rFonts w:cs="Arial"/>
                <w:b/>
                <w:bCs/>
                <w:szCs w:val="16"/>
              </w:rPr>
              <w:t xml:space="preserve">Data Anomalies Score </w:t>
            </w:r>
            <w:r w:rsidR="00976350" w:rsidRPr="009170B4">
              <w:rPr>
                <w:rFonts w:cs="Arial"/>
                <w:szCs w:val="16"/>
              </w:rPr>
              <w:t>(</w:t>
            </w:r>
            <w:r w:rsidR="00976350">
              <w:rPr>
                <w:szCs w:val="16"/>
              </w:rPr>
              <w:t>p</w:t>
            </w:r>
            <w:r w:rsidR="00976350" w:rsidRPr="001D4A43">
              <w:rPr>
                <w:szCs w:val="16"/>
              </w:rPr>
              <w:t xml:space="preserve">lease see Appendix </w:t>
            </w:r>
            <w:r w:rsidR="00976350">
              <w:rPr>
                <w:szCs w:val="16"/>
              </w:rPr>
              <w:t>B</w:t>
            </w:r>
            <w:r w:rsidR="00976350" w:rsidRPr="001D4A43">
              <w:rPr>
                <w:szCs w:val="16"/>
              </w:rPr>
              <w:t xml:space="preserve"> for a detailed description of this calculation</w:t>
            </w:r>
            <w:r w:rsidR="00976350">
              <w:rPr>
                <w:szCs w:val="16"/>
              </w:rPr>
              <w:t>)</w:t>
            </w:r>
          </w:p>
        </w:tc>
        <w:tc>
          <w:tcPr>
            <w:tcW w:w="1291" w:type="pct"/>
          </w:tcPr>
          <w:p w14:paraId="0583FFA5" w14:textId="2964D452" w:rsidR="006362E6" w:rsidRPr="00210AC6" w:rsidRDefault="006362E6">
            <w:pPr>
              <w:rPr>
                <w:rFonts w:cs="Arial"/>
                <w:szCs w:val="16"/>
              </w:rPr>
            </w:pPr>
            <w:r w:rsidRPr="0025401C">
              <w:rPr>
                <w:rFonts w:cs="Arial"/>
                <w:szCs w:val="16"/>
              </w:rPr>
              <w:t>2</w:t>
            </w:r>
          </w:p>
        </w:tc>
      </w:tr>
    </w:tbl>
    <w:p w14:paraId="5A12DDCF" w14:textId="77777777" w:rsidR="006362E6" w:rsidRDefault="006362E6" w:rsidP="007C3ED8">
      <w:pPr>
        <w:rPr>
          <w:rFonts w:cs="Arial"/>
          <w:b/>
          <w:bCs/>
          <w:szCs w:val="16"/>
        </w:rPr>
      </w:pPr>
    </w:p>
    <w:p w14:paraId="0A05DE8A" w14:textId="24FB5C5B" w:rsidR="007C3ED8" w:rsidRPr="007C3ED8" w:rsidRDefault="007C3ED8" w:rsidP="007C3ED8">
      <w:pPr>
        <w:rPr>
          <w:rFonts w:cs="Arial"/>
          <w:b/>
          <w:bCs/>
          <w:szCs w:val="16"/>
        </w:rPr>
      </w:pPr>
      <w:r w:rsidRPr="007C3ED8">
        <w:rPr>
          <w:rFonts w:cs="Arial"/>
          <w:b/>
          <w:bCs/>
          <w:szCs w:val="16"/>
        </w:rPr>
        <w:t>II. Child Performance</w:t>
      </w:r>
    </w:p>
    <w:p w14:paraId="61D2FD1A" w14:textId="08EA5A67" w:rsidR="000135C2" w:rsidRPr="00210AC6" w:rsidRDefault="007C3ED8" w:rsidP="007C3ED8">
      <w:pPr>
        <w:rPr>
          <w:rFonts w:cs="Arial"/>
          <w:b/>
          <w:bCs/>
          <w:szCs w:val="16"/>
        </w:rPr>
      </w:pPr>
      <w:r w:rsidRPr="007C3ED8">
        <w:rPr>
          <w:rFonts w:cs="Arial"/>
          <w:b/>
          <w:bCs/>
          <w:szCs w:val="16"/>
        </w:rPr>
        <w:t>(a) Data Comparison: Comparing your State’s 2023 Outcomes Data to other States’ 2023 Outcomes Data</w:t>
      </w:r>
    </w:p>
    <w:tbl>
      <w:tblPr>
        <w:tblStyle w:val="TableGrid1"/>
        <w:tblW w:w="5000" w:type="pct"/>
        <w:tblLayout w:type="fixed"/>
        <w:tblLook w:val="04A0" w:firstRow="1" w:lastRow="0" w:firstColumn="1" w:lastColumn="0" w:noHBand="0" w:noVBand="1"/>
        <w:tblCaption w:val="C03COMPDQ"/>
      </w:tblPr>
      <w:tblGrid>
        <w:gridCol w:w="8004"/>
        <w:gridCol w:w="2786"/>
      </w:tblGrid>
      <w:tr w:rsidR="007C3ED8" w:rsidRPr="00210AC6" w14:paraId="026E94FD" w14:textId="77777777">
        <w:trPr>
          <w:trHeight w:val="242"/>
        </w:trPr>
        <w:tc>
          <w:tcPr>
            <w:tcW w:w="3709" w:type="pct"/>
          </w:tcPr>
          <w:p w14:paraId="1410ED5E" w14:textId="67FC6A04" w:rsidR="007C3ED8" w:rsidRPr="00210AC6" w:rsidRDefault="007C3ED8">
            <w:pPr>
              <w:rPr>
                <w:rFonts w:cs="Arial"/>
                <w:b/>
                <w:bCs/>
                <w:szCs w:val="16"/>
              </w:rPr>
            </w:pPr>
            <w:r w:rsidRPr="00083FA7">
              <w:rPr>
                <w:rFonts w:cs="Arial"/>
                <w:b/>
                <w:bCs/>
                <w:szCs w:val="16"/>
              </w:rPr>
              <w:t xml:space="preserve">Data Comparison Score </w:t>
            </w:r>
            <w:r w:rsidR="00976350" w:rsidRPr="00B02EBE">
              <w:rPr>
                <w:rFonts w:cs="Arial"/>
                <w:szCs w:val="16"/>
              </w:rPr>
              <w:t>(</w:t>
            </w:r>
            <w:r w:rsidR="00976350">
              <w:rPr>
                <w:szCs w:val="16"/>
              </w:rPr>
              <w:t>p</w:t>
            </w:r>
            <w:r w:rsidR="00976350" w:rsidRPr="001D4A43">
              <w:rPr>
                <w:szCs w:val="16"/>
              </w:rPr>
              <w:t xml:space="preserve">lease see Appendix </w:t>
            </w:r>
            <w:r w:rsidR="00976350">
              <w:rPr>
                <w:szCs w:val="16"/>
              </w:rPr>
              <w:t>C</w:t>
            </w:r>
            <w:r w:rsidR="00976350" w:rsidRPr="001D4A43">
              <w:rPr>
                <w:szCs w:val="16"/>
              </w:rPr>
              <w:t xml:space="preserve"> for a detailed description of this calculation</w:t>
            </w:r>
            <w:r w:rsidR="00976350">
              <w:rPr>
                <w:szCs w:val="16"/>
              </w:rPr>
              <w:t>)</w:t>
            </w:r>
          </w:p>
        </w:tc>
        <w:tc>
          <w:tcPr>
            <w:tcW w:w="1291" w:type="pct"/>
          </w:tcPr>
          <w:p w14:paraId="686EEC5D" w14:textId="0E149195" w:rsidR="007C3ED8" w:rsidRPr="00210AC6" w:rsidRDefault="002E1B30">
            <w:pPr>
              <w:rPr>
                <w:rFonts w:cs="Arial"/>
                <w:szCs w:val="16"/>
              </w:rPr>
            </w:pPr>
            <w:r w:rsidRPr="002E1B30">
              <w:rPr>
                <w:rFonts w:cs="Arial"/>
                <w:szCs w:val="16"/>
              </w:rPr>
              <w:t>1</w:t>
            </w:r>
          </w:p>
        </w:tc>
      </w:tr>
    </w:tbl>
    <w:p w14:paraId="3C981E99" w14:textId="49B2C036" w:rsidR="00E34D8D" w:rsidRDefault="00E34D8D" w:rsidP="00E34D8D">
      <w:pPr>
        <w:rPr>
          <w:rFonts w:cs="Arial"/>
          <w:b/>
          <w:bCs/>
          <w:szCs w:val="16"/>
        </w:rPr>
      </w:pPr>
      <w:r w:rsidRPr="00094EAD">
        <w:rPr>
          <w:rFonts w:cs="Arial"/>
          <w:b/>
          <w:bCs/>
          <w:szCs w:val="16"/>
        </w:rPr>
        <w:t>(b) Performance Change Over Time: Comparing your State’s FFY 2023 data to your State’s FFY 2022 data</w:t>
      </w:r>
    </w:p>
    <w:tbl>
      <w:tblPr>
        <w:tblStyle w:val="TableGrid1"/>
        <w:tblW w:w="5000" w:type="pct"/>
        <w:tblLayout w:type="fixed"/>
        <w:tblLook w:val="04A0" w:firstRow="1" w:lastRow="0" w:firstColumn="1" w:lastColumn="0" w:noHBand="0" w:noVBand="1"/>
        <w:tblCaption w:val="C03PRMDQ"/>
      </w:tblPr>
      <w:tblGrid>
        <w:gridCol w:w="8004"/>
        <w:gridCol w:w="2786"/>
      </w:tblGrid>
      <w:tr w:rsidR="00E34D8D" w:rsidRPr="00210AC6" w14:paraId="56526381" w14:textId="77777777">
        <w:trPr>
          <w:trHeight w:val="242"/>
        </w:trPr>
        <w:tc>
          <w:tcPr>
            <w:tcW w:w="3709" w:type="pct"/>
          </w:tcPr>
          <w:p w14:paraId="32DAB930" w14:textId="597C1B48" w:rsidR="00E34D8D" w:rsidRPr="00210AC6" w:rsidRDefault="00E34D8D">
            <w:pPr>
              <w:rPr>
                <w:rFonts w:cs="Arial"/>
                <w:b/>
                <w:bCs/>
                <w:szCs w:val="16"/>
              </w:rPr>
            </w:pPr>
            <w:r>
              <w:rPr>
                <w:rFonts w:cs="Arial"/>
                <w:b/>
                <w:bCs/>
                <w:szCs w:val="16"/>
              </w:rPr>
              <w:t xml:space="preserve">Performance Change Score </w:t>
            </w:r>
            <w:r w:rsidR="00976350" w:rsidRPr="00B02EBE">
              <w:rPr>
                <w:rFonts w:cs="Arial"/>
                <w:szCs w:val="16"/>
              </w:rPr>
              <w:t>(</w:t>
            </w:r>
            <w:r w:rsidR="00976350">
              <w:rPr>
                <w:szCs w:val="16"/>
              </w:rPr>
              <w:t>p</w:t>
            </w:r>
            <w:r w:rsidR="00976350" w:rsidRPr="001D4A43">
              <w:rPr>
                <w:szCs w:val="16"/>
              </w:rPr>
              <w:t xml:space="preserve">lease see Appendix </w:t>
            </w:r>
            <w:r w:rsidR="00976350">
              <w:rPr>
                <w:szCs w:val="16"/>
              </w:rPr>
              <w:t>D</w:t>
            </w:r>
            <w:r w:rsidR="00976350" w:rsidRPr="001D4A43">
              <w:rPr>
                <w:szCs w:val="16"/>
              </w:rPr>
              <w:t xml:space="preserve"> for a detailed description of this calculation</w:t>
            </w:r>
            <w:r w:rsidR="00976350">
              <w:rPr>
                <w:szCs w:val="16"/>
              </w:rPr>
              <w:t>)</w:t>
            </w:r>
          </w:p>
        </w:tc>
        <w:tc>
          <w:tcPr>
            <w:tcW w:w="1291" w:type="pct"/>
          </w:tcPr>
          <w:p w14:paraId="0BFF259B" w14:textId="4AC2A256" w:rsidR="00E34D8D" w:rsidRPr="00210AC6" w:rsidRDefault="00E34D8D">
            <w:pPr>
              <w:rPr>
                <w:rFonts w:cs="Arial"/>
                <w:szCs w:val="16"/>
              </w:rPr>
            </w:pPr>
            <w:r w:rsidRPr="00F83692">
              <w:rPr>
                <w:rFonts w:cs="Arial"/>
                <w:szCs w:val="16"/>
              </w:rPr>
              <w:t>1</w:t>
            </w:r>
          </w:p>
        </w:tc>
      </w:tr>
    </w:tbl>
    <w:p w14:paraId="38DC31DA" w14:textId="77777777" w:rsidR="00E34D8D" w:rsidRPr="00210AC6" w:rsidRDefault="00E34D8D" w:rsidP="000135C2">
      <w:pPr>
        <w:rPr>
          <w:rFonts w:cs="Arial"/>
          <w:b/>
          <w:bCs/>
          <w:szCs w:val="16"/>
        </w:rPr>
      </w:pPr>
    </w:p>
    <w:tbl>
      <w:tblPr>
        <w:tblStyle w:val="TableGrid1"/>
        <w:tblW w:w="5000" w:type="pct"/>
        <w:tblLayout w:type="fixed"/>
        <w:tblLook w:val="04A0" w:firstRow="1" w:lastRow="0" w:firstColumn="1" w:lastColumn="0" w:noHBand="0" w:noVBand="1"/>
        <w:tblCaption w:val="C03SSPDQ"/>
      </w:tblPr>
      <w:tblGrid>
        <w:gridCol w:w="1543"/>
        <w:gridCol w:w="1543"/>
        <w:gridCol w:w="1543"/>
        <w:gridCol w:w="1577"/>
        <w:gridCol w:w="1504"/>
        <w:gridCol w:w="1541"/>
        <w:gridCol w:w="1539"/>
      </w:tblGrid>
      <w:tr w:rsidR="00174585" w:rsidRPr="00210AC6" w14:paraId="78016CFA" w14:textId="77777777" w:rsidTr="00EC51AB">
        <w:trPr>
          <w:tblHeader/>
        </w:trPr>
        <w:tc>
          <w:tcPr>
            <w:tcW w:w="715" w:type="pct"/>
          </w:tcPr>
          <w:p w14:paraId="6B2EF5DA" w14:textId="72656DE0" w:rsidR="00174585" w:rsidRPr="00174585" w:rsidRDefault="00174585" w:rsidP="00174585">
            <w:pPr>
              <w:rPr>
                <w:rFonts w:cs="Arial"/>
                <w:b/>
                <w:bCs/>
                <w:szCs w:val="16"/>
              </w:rPr>
            </w:pPr>
            <w:r w:rsidRPr="00174585">
              <w:rPr>
                <w:b/>
                <w:bCs/>
              </w:rPr>
              <w:t>Summary Statement Performance</w:t>
            </w:r>
          </w:p>
        </w:tc>
        <w:tc>
          <w:tcPr>
            <w:tcW w:w="715" w:type="pct"/>
          </w:tcPr>
          <w:p w14:paraId="0E1D3F85" w14:textId="38351CC1" w:rsidR="00174585" w:rsidRPr="00174585" w:rsidRDefault="00174585" w:rsidP="00174585">
            <w:pPr>
              <w:rPr>
                <w:rFonts w:cs="Arial"/>
                <w:b/>
                <w:bCs/>
                <w:szCs w:val="16"/>
              </w:rPr>
            </w:pPr>
            <w:r w:rsidRPr="00174585">
              <w:rPr>
                <w:b/>
                <w:bCs/>
              </w:rPr>
              <w:t>Outcome A: Positive Social Relationships SS1 (%)</w:t>
            </w:r>
          </w:p>
        </w:tc>
        <w:tc>
          <w:tcPr>
            <w:tcW w:w="715" w:type="pct"/>
          </w:tcPr>
          <w:p w14:paraId="3D8BC598" w14:textId="689CE969" w:rsidR="00174585" w:rsidRPr="00174585" w:rsidRDefault="00174585" w:rsidP="00174585">
            <w:pPr>
              <w:rPr>
                <w:rFonts w:cs="Arial"/>
                <w:b/>
                <w:bCs/>
                <w:szCs w:val="16"/>
              </w:rPr>
            </w:pPr>
            <w:r w:rsidRPr="00174585">
              <w:rPr>
                <w:b/>
                <w:bCs/>
              </w:rPr>
              <w:t>Outcome A: Positive Social Relationships SS2 (%)</w:t>
            </w:r>
          </w:p>
        </w:tc>
        <w:tc>
          <w:tcPr>
            <w:tcW w:w="731" w:type="pct"/>
          </w:tcPr>
          <w:p w14:paraId="68C42C33" w14:textId="1865FF59" w:rsidR="00174585" w:rsidRPr="00174585" w:rsidRDefault="00174585" w:rsidP="00174585">
            <w:pPr>
              <w:rPr>
                <w:rFonts w:cs="Arial"/>
                <w:b/>
                <w:bCs/>
                <w:szCs w:val="16"/>
              </w:rPr>
            </w:pPr>
            <w:r w:rsidRPr="00174585">
              <w:rPr>
                <w:b/>
                <w:bCs/>
              </w:rPr>
              <w:t>Outcome B: Knowledge and Skills SS1 (%)</w:t>
            </w:r>
          </w:p>
        </w:tc>
        <w:tc>
          <w:tcPr>
            <w:tcW w:w="697" w:type="pct"/>
          </w:tcPr>
          <w:p w14:paraId="76C98EFE" w14:textId="1C01C456" w:rsidR="00174585" w:rsidRPr="00174585" w:rsidRDefault="00691386" w:rsidP="00174585">
            <w:pPr>
              <w:rPr>
                <w:rFonts w:cs="Arial"/>
                <w:b/>
                <w:bCs/>
                <w:szCs w:val="16"/>
              </w:rPr>
            </w:pPr>
            <w:r>
              <w:rPr>
                <w:b/>
                <w:bCs/>
              </w:rPr>
              <w:t xml:space="preserve">Outcome B: Knowledge and Skills </w:t>
            </w:r>
            <w:r>
              <w:rPr>
                <w:rFonts w:cs="Arial"/>
                <w:b/>
                <w:bCs/>
                <w:szCs w:val="16"/>
              </w:rPr>
              <w:t>SS2 (%)</w:t>
            </w:r>
          </w:p>
        </w:tc>
        <w:tc>
          <w:tcPr>
            <w:tcW w:w="714" w:type="pct"/>
          </w:tcPr>
          <w:p w14:paraId="039A9FF7" w14:textId="0AD5EA44" w:rsidR="00174585" w:rsidRPr="00174585" w:rsidRDefault="00174585" w:rsidP="00174585">
            <w:pPr>
              <w:rPr>
                <w:rFonts w:cs="Arial"/>
                <w:b/>
                <w:bCs/>
                <w:szCs w:val="16"/>
              </w:rPr>
            </w:pPr>
            <w:r w:rsidRPr="00174585">
              <w:rPr>
                <w:b/>
                <w:bCs/>
              </w:rPr>
              <w:t>Outcome C: Actions to Meet Needs SS1 (%)</w:t>
            </w:r>
          </w:p>
        </w:tc>
        <w:tc>
          <w:tcPr>
            <w:tcW w:w="713" w:type="pct"/>
          </w:tcPr>
          <w:p w14:paraId="5DF76C45" w14:textId="4B88F012" w:rsidR="00174585" w:rsidRPr="00174585" w:rsidRDefault="00174585" w:rsidP="00174585">
            <w:pPr>
              <w:rPr>
                <w:rFonts w:cs="Arial"/>
                <w:b/>
                <w:bCs/>
                <w:szCs w:val="16"/>
              </w:rPr>
            </w:pPr>
            <w:r w:rsidRPr="00174585">
              <w:rPr>
                <w:b/>
                <w:bCs/>
              </w:rPr>
              <w:t>Outcome C: Actions to Meet Needs SS2 (%)</w:t>
            </w:r>
          </w:p>
        </w:tc>
      </w:tr>
      <w:tr w:rsidR="00B03B19" w:rsidRPr="00210AC6" w14:paraId="7236D15C" w14:textId="77777777" w:rsidTr="00EC51AB">
        <w:tc>
          <w:tcPr>
            <w:tcW w:w="715" w:type="pct"/>
          </w:tcPr>
          <w:p w14:paraId="69BEB1D2" w14:textId="4264C09E" w:rsidR="00B03B19" w:rsidRPr="00A96CE2" w:rsidRDefault="00B03B19" w:rsidP="00B03B19">
            <w:pPr>
              <w:rPr>
                <w:rFonts w:cs="Arial"/>
                <w:b/>
                <w:bCs/>
                <w:szCs w:val="16"/>
              </w:rPr>
            </w:pPr>
            <w:r w:rsidRPr="00A96CE2">
              <w:rPr>
                <w:b/>
                <w:bCs/>
              </w:rPr>
              <w:t xml:space="preserve">FFY 2023 </w:t>
            </w:r>
          </w:p>
        </w:tc>
        <w:tc>
          <w:tcPr>
            <w:tcW w:w="715" w:type="pct"/>
          </w:tcPr>
          <w:p w14:paraId="6EA65C2C" w14:textId="7C1F88CF" w:rsidR="00B03B19" w:rsidRPr="00210AC6" w:rsidRDefault="00B03B19" w:rsidP="00B03B19">
            <w:pPr>
              <w:rPr>
                <w:rFonts w:cs="Arial"/>
                <w:szCs w:val="16"/>
              </w:rPr>
            </w:pPr>
            <w:r w:rsidRPr="00A46401">
              <w:t>40.09%</w:t>
            </w:r>
          </w:p>
        </w:tc>
        <w:tc>
          <w:tcPr>
            <w:tcW w:w="715" w:type="pct"/>
          </w:tcPr>
          <w:p w14:paraId="542CEEB9" w14:textId="37E21014" w:rsidR="00B03B19" w:rsidRPr="00210AC6" w:rsidRDefault="00B03B19" w:rsidP="00B03B19">
            <w:pPr>
              <w:rPr>
                <w:rFonts w:cs="Arial"/>
                <w:szCs w:val="16"/>
              </w:rPr>
            </w:pPr>
            <w:r w:rsidRPr="00A46401">
              <w:t>65.42%</w:t>
            </w:r>
          </w:p>
        </w:tc>
        <w:tc>
          <w:tcPr>
            <w:tcW w:w="731" w:type="pct"/>
          </w:tcPr>
          <w:p w14:paraId="082867DD" w14:textId="7F23B051" w:rsidR="00B03B19" w:rsidRPr="00210AC6" w:rsidRDefault="00B03B19" w:rsidP="00B03B19">
            <w:pPr>
              <w:rPr>
                <w:rFonts w:cs="Arial"/>
                <w:szCs w:val="16"/>
              </w:rPr>
            </w:pPr>
            <w:r w:rsidRPr="00A46401">
              <w:t>68.84%</w:t>
            </w:r>
          </w:p>
        </w:tc>
        <w:tc>
          <w:tcPr>
            <w:tcW w:w="697" w:type="pct"/>
          </w:tcPr>
          <w:p w14:paraId="798EA0C8" w14:textId="2776FB61" w:rsidR="00B03B19" w:rsidRPr="00210AC6" w:rsidRDefault="00B03B19" w:rsidP="00B03B19">
            <w:pPr>
              <w:rPr>
                <w:rFonts w:cs="Arial"/>
                <w:szCs w:val="16"/>
              </w:rPr>
            </w:pPr>
            <w:r w:rsidRPr="00A46401">
              <w:t>26.58%</w:t>
            </w:r>
          </w:p>
        </w:tc>
        <w:tc>
          <w:tcPr>
            <w:tcW w:w="714" w:type="pct"/>
          </w:tcPr>
          <w:p w14:paraId="53B8C0FF" w14:textId="1ABA1A1C" w:rsidR="00B03B19" w:rsidRPr="00210AC6" w:rsidRDefault="00B03B19" w:rsidP="00B03B19">
            <w:pPr>
              <w:rPr>
                <w:rFonts w:cs="Arial"/>
                <w:szCs w:val="16"/>
              </w:rPr>
            </w:pPr>
            <w:r w:rsidRPr="00A46401">
              <w:t>84.64%</w:t>
            </w:r>
          </w:p>
        </w:tc>
        <w:tc>
          <w:tcPr>
            <w:tcW w:w="713" w:type="pct"/>
          </w:tcPr>
          <w:p w14:paraId="71D0CC34" w14:textId="38E23520" w:rsidR="00B03B19" w:rsidRPr="00210AC6" w:rsidRDefault="00B03B19" w:rsidP="00B03B19">
            <w:pPr>
              <w:rPr>
                <w:rFonts w:cs="Arial"/>
                <w:szCs w:val="16"/>
              </w:rPr>
            </w:pPr>
            <w:r w:rsidRPr="00A46401">
              <w:t>49.37%</w:t>
            </w:r>
          </w:p>
        </w:tc>
      </w:tr>
      <w:tr w:rsidR="00A96CE2" w:rsidRPr="00210AC6" w14:paraId="135D1E67" w14:textId="77777777" w:rsidTr="00EC51AB">
        <w:tc>
          <w:tcPr>
            <w:tcW w:w="715" w:type="pct"/>
          </w:tcPr>
          <w:p w14:paraId="69E847AA" w14:textId="688ACFCA" w:rsidR="00A96CE2" w:rsidRPr="00A96CE2" w:rsidRDefault="00A96CE2" w:rsidP="00A96CE2">
            <w:pPr>
              <w:rPr>
                <w:rFonts w:cs="Arial"/>
                <w:b/>
                <w:bCs/>
                <w:szCs w:val="16"/>
              </w:rPr>
            </w:pPr>
            <w:r w:rsidRPr="00A96CE2">
              <w:rPr>
                <w:b/>
                <w:bCs/>
              </w:rPr>
              <w:t xml:space="preserve">FFY 2022 </w:t>
            </w:r>
          </w:p>
        </w:tc>
        <w:tc>
          <w:tcPr>
            <w:tcW w:w="715" w:type="pct"/>
          </w:tcPr>
          <w:p w14:paraId="0F12421E" w14:textId="435DC4F0" w:rsidR="00A96CE2" w:rsidRPr="00210AC6" w:rsidRDefault="00A96CE2" w:rsidP="00A96CE2">
            <w:pPr>
              <w:rPr>
                <w:rFonts w:cs="Arial"/>
                <w:szCs w:val="16"/>
              </w:rPr>
            </w:pPr>
            <w:r w:rsidRPr="00902025">
              <w:t>39.52%</w:t>
            </w:r>
          </w:p>
        </w:tc>
        <w:tc>
          <w:tcPr>
            <w:tcW w:w="715" w:type="pct"/>
          </w:tcPr>
          <w:p w14:paraId="4A7F27F4" w14:textId="16E8DAC9" w:rsidR="00A96CE2" w:rsidRPr="00210AC6" w:rsidRDefault="00A96CE2" w:rsidP="00A96CE2">
            <w:pPr>
              <w:rPr>
                <w:rFonts w:cs="Arial"/>
                <w:szCs w:val="16"/>
              </w:rPr>
            </w:pPr>
            <w:r w:rsidRPr="00902025">
              <w:t>67.22%</w:t>
            </w:r>
          </w:p>
        </w:tc>
        <w:tc>
          <w:tcPr>
            <w:tcW w:w="731" w:type="pct"/>
          </w:tcPr>
          <w:p w14:paraId="0B2C982E" w14:textId="60B64CC6" w:rsidR="00A96CE2" w:rsidRPr="00210AC6" w:rsidRDefault="00A96CE2" w:rsidP="00A96CE2">
            <w:pPr>
              <w:rPr>
                <w:rFonts w:cs="Arial"/>
                <w:szCs w:val="16"/>
              </w:rPr>
            </w:pPr>
            <w:r w:rsidRPr="00902025">
              <w:t>69.04%</w:t>
            </w:r>
          </w:p>
        </w:tc>
        <w:tc>
          <w:tcPr>
            <w:tcW w:w="697" w:type="pct"/>
          </w:tcPr>
          <w:p w14:paraId="48D6DCB3" w14:textId="035BCB73" w:rsidR="00A96CE2" w:rsidRPr="00210AC6" w:rsidRDefault="00A96CE2" w:rsidP="00A96CE2">
            <w:pPr>
              <w:rPr>
                <w:rFonts w:cs="Arial"/>
                <w:szCs w:val="16"/>
              </w:rPr>
            </w:pPr>
            <w:r w:rsidRPr="00902025">
              <w:t>27.21%</w:t>
            </w:r>
          </w:p>
        </w:tc>
        <w:tc>
          <w:tcPr>
            <w:tcW w:w="714" w:type="pct"/>
          </w:tcPr>
          <w:p w14:paraId="75DD9D82" w14:textId="41901A3C" w:rsidR="00A96CE2" w:rsidRPr="00210AC6" w:rsidRDefault="00A96CE2" w:rsidP="00A96CE2">
            <w:pPr>
              <w:rPr>
                <w:rFonts w:cs="Arial"/>
                <w:szCs w:val="16"/>
              </w:rPr>
            </w:pPr>
            <w:r w:rsidRPr="00902025">
              <w:t>85.45%</w:t>
            </w:r>
          </w:p>
        </w:tc>
        <w:tc>
          <w:tcPr>
            <w:tcW w:w="713" w:type="pct"/>
          </w:tcPr>
          <w:p w14:paraId="51F0864D" w14:textId="7593AA05" w:rsidR="00A96CE2" w:rsidRPr="00210AC6" w:rsidRDefault="00A96CE2" w:rsidP="00A96CE2">
            <w:pPr>
              <w:rPr>
                <w:rFonts w:cs="Arial"/>
                <w:szCs w:val="16"/>
              </w:rPr>
            </w:pPr>
            <w:r w:rsidRPr="00902025">
              <w:t>54.72%</w:t>
            </w:r>
          </w:p>
        </w:tc>
      </w:tr>
    </w:tbl>
    <w:p w14:paraId="3193F46C" w14:textId="77777777" w:rsidR="004A7ECD" w:rsidRDefault="004A7ECD" w:rsidP="000135C2">
      <w:pPr>
        <w:rPr>
          <w:rFonts w:cs="Arial"/>
          <w:b/>
          <w:bCs/>
          <w:szCs w:val="16"/>
        </w:rPr>
      </w:pPr>
    </w:p>
    <w:p w14:paraId="74389200" w14:textId="276077B0" w:rsidR="004A7ECD" w:rsidRPr="00D731C8" w:rsidRDefault="00976350">
      <w:pPr>
        <w:spacing w:before="0" w:after="200" w:line="276" w:lineRule="auto"/>
        <w:rPr>
          <w:rFonts w:cs="Arial"/>
          <w:b/>
          <w:bCs/>
          <w:szCs w:val="16"/>
        </w:rPr>
      </w:pPr>
      <w:r w:rsidRPr="00D731C8">
        <w:rPr>
          <w:b/>
          <w:bCs/>
          <w:szCs w:val="16"/>
        </w:rPr>
        <w:t xml:space="preserve">(1) For a detailed explanation of how the Compliance Score, Results Score, and the Results-Driven Accountability Percentage and Determination were calculated, review "How the Department Made Determinations under Section 616(d) of the </w:t>
      </w:r>
      <w:r w:rsidRPr="00D731C8">
        <w:rPr>
          <w:b/>
          <w:bCs/>
          <w:i/>
          <w:szCs w:val="16"/>
        </w:rPr>
        <w:t>Individuals with Disabilities Education Act</w:t>
      </w:r>
      <w:r w:rsidRPr="00D731C8">
        <w:rPr>
          <w:b/>
          <w:bCs/>
          <w:szCs w:val="16"/>
        </w:rPr>
        <w:t xml:space="preserve"> in 2025: Part </w:t>
      </w:r>
      <w:r w:rsidR="00AB65CA">
        <w:rPr>
          <w:b/>
          <w:bCs/>
          <w:szCs w:val="16"/>
        </w:rPr>
        <w:t>C</w:t>
      </w:r>
      <w:r w:rsidRPr="00D731C8">
        <w:rPr>
          <w:b/>
          <w:bCs/>
          <w:szCs w:val="16"/>
        </w:rPr>
        <w:t>."</w:t>
      </w:r>
      <w:r w:rsidR="004A7ECD" w:rsidRPr="00D731C8">
        <w:rPr>
          <w:rFonts w:cs="Arial"/>
          <w:b/>
          <w:bCs/>
          <w:szCs w:val="16"/>
        </w:rPr>
        <w:br w:type="page"/>
      </w:r>
    </w:p>
    <w:p w14:paraId="250C6640" w14:textId="1EA22599" w:rsidR="00A14B29" w:rsidRPr="00210AC6" w:rsidRDefault="000135C2" w:rsidP="000135C2">
      <w:pPr>
        <w:rPr>
          <w:rFonts w:cs="Arial"/>
          <w:b/>
          <w:bCs/>
          <w:szCs w:val="16"/>
        </w:rPr>
      </w:pPr>
      <w:r w:rsidRPr="00210AC6">
        <w:rPr>
          <w:rFonts w:cs="Arial"/>
          <w:b/>
          <w:bCs/>
          <w:szCs w:val="16"/>
        </w:rPr>
        <w:lastRenderedPageBreak/>
        <w:t>2025 Part C Compliance Matrix</w:t>
      </w:r>
    </w:p>
    <w:tbl>
      <w:tblPr>
        <w:tblStyle w:val="TableGrid1"/>
        <w:tblW w:w="5004" w:type="pct"/>
        <w:tblLayout w:type="fixed"/>
        <w:tblLook w:val="04A0" w:firstRow="1" w:lastRow="0" w:firstColumn="1" w:lastColumn="0" w:noHBand="0" w:noVBand="1"/>
        <w:tblCaption w:val="CENNSRSTCFFYCMP"/>
      </w:tblPr>
      <w:tblGrid>
        <w:gridCol w:w="5408"/>
        <w:gridCol w:w="1797"/>
        <w:gridCol w:w="1797"/>
        <w:gridCol w:w="1797"/>
      </w:tblGrid>
      <w:tr w:rsidR="000135C2" w:rsidRPr="00210AC6" w14:paraId="5773F686" w14:textId="77777777">
        <w:trPr>
          <w:tblHeader/>
        </w:trPr>
        <w:tc>
          <w:tcPr>
            <w:tcW w:w="2504" w:type="pct"/>
          </w:tcPr>
          <w:p w14:paraId="0362FF60" w14:textId="092F6E5A" w:rsidR="000135C2" w:rsidRPr="00210AC6" w:rsidRDefault="000135C2">
            <w:pPr>
              <w:rPr>
                <w:rFonts w:cs="Arial"/>
                <w:b/>
                <w:bCs/>
                <w:szCs w:val="16"/>
              </w:rPr>
            </w:pPr>
            <w:r w:rsidRPr="00210AC6">
              <w:rPr>
                <w:rFonts w:cs="Arial"/>
                <w:b/>
                <w:bCs/>
                <w:szCs w:val="16"/>
              </w:rPr>
              <w:t xml:space="preserve">Part C Compliance Indicator </w:t>
            </w:r>
            <w:r w:rsidR="00976350">
              <w:rPr>
                <w:rFonts w:cs="Arial"/>
                <w:szCs w:val="16"/>
              </w:rPr>
              <w:t>(2)</w:t>
            </w:r>
          </w:p>
        </w:tc>
        <w:tc>
          <w:tcPr>
            <w:tcW w:w="832" w:type="pct"/>
          </w:tcPr>
          <w:p w14:paraId="07EBA62C" w14:textId="77777777" w:rsidR="000135C2" w:rsidRPr="00210AC6" w:rsidRDefault="000135C2">
            <w:pPr>
              <w:rPr>
                <w:rFonts w:cs="Arial"/>
                <w:b/>
                <w:bCs/>
                <w:szCs w:val="16"/>
              </w:rPr>
            </w:pPr>
            <w:r w:rsidRPr="00210AC6">
              <w:rPr>
                <w:rFonts w:cs="Arial"/>
                <w:b/>
                <w:bCs/>
                <w:szCs w:val="16"/>
              </w:rPr>
              <w:t xml:space="preserve">Performance (%) </w:t>
            </w:r>
          </w:p>
        </w:tc>
        <w:tc>
          <w:tcPr>
            <w:tcW w:w="832" w:type="pct"/>
          </w:tcPr>
          <w:p w14:paraId="7652A479" w14:textId="4D892098" w:rsidR="000135C2" w:rsidRPr="00210AC6" w:rsidRDefault="000135C2">
            <w:pPr>
              <w:rPr>
                <w:rFonts w:cs="Arial"/>
                <w:b/>
                <w:bCs/>
                <w:szCs w:val="16"/>
              </w:rPr>
            </w:pPr>
            <w:r w:rsidRPr="00210AC6">
              <w:rPr>
                <w:rFonts w:cs="Arial"/>
                <w:b/>
                <w:bCs/>
                <w:szCs w:val="16"/>
              </w:rPr>
              <w:t xml:space="preserve">Full Correction of Findings of Noncompliance Identified in FFY 2022 </w:t>
            </w:r>
            <w:r w:rsidR="00976350">
              <w:rPr>
                <w:rFonts w:cs="Arial"/>
                <w:szCs w:val="16"/>
              </w:rPr>
              <w:t>(3)</w:t>
            </w:r>
          </w:p>
        </w:tc>
        <w:tc>
          <w:tcPr>
            <w:tcW w:w="832" w:type="pct"/>
          </w:tcPr>
          <w:p w14:paraId="5B7CA287" w14:textId="77777777" w:rsidR="000135C2" w:rsidRPr="00210AC6" w:rsidRDefault="000135C2">
            <w:pPr>
              <w:rPr>
                <w:rFonts w:cs="Arial"/>
                <w:b/>
                <w:bCs/>
                <w:szCs w:val="16"/>
              </w:rPr>
            </w:pPr>
            <w:r w:rsidRPr="00210AC6">
              <w:rPr>
                <w:rFonts w:cs="Arial"/>
                <w:b/>
                <w:bCs/>
                <w:szCs w:val="16"/>
              </w:rPr>
              <w:t>Score</w:t>
            </w:r>
          </w:p>
        </w:tc>
      </w:tr>
      <w:tr w:rsidR="00CD6106" w:rsidRPr="00210AC6" w14:paraId="0F78BCB1" w14:textId="77777777">
        <w:tc>
          <w:tcPr>
            <w:tcW w:w="2504" w:type="pct"/>
          </w:tcPr>
          <w:p w14:paraId="16C55896" w14:textId="39ECCBBA" w:rsidR="00CD6106" w:rsidRPr="00744585" w:rsidRDefault="00CD6106" w:rsidP="00CD6106">
            <w:pPr>
              <w:rPr>
                <w:rFonts w:cs="Arial"/>
                <w:b/>
                <w:bCs/>
                <w:szCs w:val="16"/>
              </w:rPr>
            </w:pPr>
            <w:r w:rsidRPr="00744585">
              <w:rPr>
                <w:b/>
                <w:bCs/>
              </w:rPr>
              <w:t>Indicator 1: Timely service provision</w:t>
            </w:r>
          </w:p>
        </w:tc>
        <w:tc>
          <w:tcPr>
            <w:tcW w:w="832" w:type="pct"/>
          </w:tcPr>
          <w:p w14:paraId="2BE4272B" w14:textId="2224AC6A" w:rsidR="00CD6106" w:rsidRPr="00210AC6" w:rsidRDefault="00CD6106" w:rsidP="00CD6106">
            <w:pPr>
              <w:rPr>
                <w:rFonts w:cs="Arial"/>
                <w:szCs w:val="16"/>
              </w:rPr>
            </w:pPr>
            <w:r w:rsidRPr="00507C8C">
              <w:t>92.81%</w:t>
            </w:r>
          </w:p>
        </w:tc>
        <w:tc>
          <w:tcPr>
            <w:tcW w:w="832" w:type="pct"/>
          </w:tcPr>
          <w:p w14:paraId="6ABF6AB2" w14:textId="6D5B638F" w:rsidR="00CD6106" w:rsidRPr="00210AC6" w:rsidRDefault="00CD6106" w:rsidP="00CD6106">
            <w:pPr>
              <w:rPr>
                <w:rFonts w:cs="Arial"/>
                <w:szCs w:val="16"/>
              </w:rPr>
            </w:pPr>
            <w:r w:rsidRPr="00952E24">
              <w:t>YES</w:t>
            </w:r>
          </w:p>
        </w:tc>
        <w:tc>
          <w:tcPr>
            <w:tcW w:w="832" w:type="pct"/>
          </w:tcPr>
          <w:p w14:paraId="4C6D12D8" w14:textId="0B3C844F" w:rsidR="00CD6106" w:rsidRPr="00210AC6" w:rsidRDefault="00CD6106" w:rsidP="00CD6106">
            <w:pPr>
              <w:rPr>
                <w:rFonts w:cs="Arial"/>
                <w:szCs w:val="16"/>
              </w:rPr>
            </w:pPr>
            <w:r w:rsidRPr="00A55644">
              <w:t>2</w:t>
            </w:r>
          </w:p>
        </w:tc>
      </w:tr>
      <w:tr w:rsidR="00CD6106" w:rsidRPr="00210AC6" w14:paraId="49964228" w14:textId="77777777">
        <w:tc>
          <w:tcPr>
            <w:tcW w:w="2504" w:type="pct"/>
          </w:tcPr>
          <w:p w14:paraId="25EB8C13" w14:textId="46B7DF5A" w:rsidR="00CD6106" w:rsidRPr="00744585" w:rsidRDefault="00CD6106" w:rsidP="00CD6106">
            <w:pPr>
              <w:rPr>
                <w:rFonts w:cs="Arial"/>
                <w:b/>
                <w:bCs/>
                <w:szCs w:val="16"/>
              </w:rPr>
            </w:pPr>
            <w:r w:rsidRPr="00744585">
              <w:rPr>
                <w:b/>
                <w:bCs/>
              </w:rPr>
              <w:t>Indicator 7: 45-day timeline</w:t>
            </w:r>
          </w:p>
        </w:tc>
        <w:tc>
          <w:tcPr>
            <w:tcW w:w="832" w:type="pct"/>
          </w:tcPr>
          <w:p w14:paraId="58696A1A" w14:textId="6B178415" w:rsidR="00CD6106" w:rsidRPr="00210AC6" w:rsidRDefault="00CD6106" w:rsidP="00CD6106">
            <w:pPr>
              <w:rPr>
                <w:rFonts w:cs="Arial"/>
                <w:szCs w:val="16"/>
              </w:rPr>
            </w:pPr>
            <w:r w:rsidRPr="00507C8C">
              <w:t>99.34%</w:t>
            </w:r>
          </w:p>
        </w:tc>
        <w:tc>
          <w:tcPr>
            <w:tcW w:w="832" w:type="pct"/>
          </w:tcPr>
          <w:p w14:paraId="5F183FEF" w14:textId="40ACE9C9" w:rsidR="00CD6106" w:rsidRPr="00210AC6" w:rsidRDefault="00CD6106" w:rsidP="00CD6106">
            <w:pPr>
              <w:rPr>
                <w:rFonts w:cs="Arial"/>
                <w:szCs w:val="16"/>
              </w:rPr>
            </w:pPr>
            <w:r w:rsidRPr="00952E24">
              <w:t>YES</w:t>
            </w:r>
          </w:p>
        </w:tc>
        <w:tc>
          <w:tcPr>
            <w:tcW w:w="832" w:type="pct"/>
          </w:tcPr>
          <w:p w14:paraId="4059A185" w14:textId="15F2592F" w:rsidR="00CD6106" w:rsidRPr="00210AC6" w:rsidRDefault="00CD6106" w:rsidP="00CD6106">
            <w:pPr>
              <w:rPr>
                <w:rFonts w:cs="Arial"/>
                <w:szCs w:val="16"/>
              </w:rPr>
            </w:pPr>
            <w:r w:rsidRPr="00A55644">
              <w:t>2</w:t>
            </w:r>
          </w:p>
        </w:tc>
      </w:tr>
      <w:tr w:rsidR="00CD6106" w:rsidRPr="00210AC6" w14:paraId="3178E6C8" w14:textId="77777777">
        <w:tc>
          <w:tcPr>
            <w:tcW w:w="2504" w:type="pct"/>
          </w:tcPr>
          <w:p w14:paraId="2474E661" w14:textId="014447CB" w:rsidR="00CD6106" w:rsidRPr="00744585" w:rsidRDefault="00CD6106" w:rsidP="00CD6106">
            <w:pPr>
              <w:rPr>
                <w:rFonts w:cs="Arial"/>
                <w:b/>
                <w:bCs/>
                <w:szCs w:val="16"/>
              </w:rPr>
            </w:pPr>
            <w:r w:rsidRPr="00744585">
              <w:rPr>
                <w:b/>
                <w:bCs/>
              </w:rPr>
              <w:t>Indicator 8A: Timely transition plan</w:t>
            </w:r>
          </w:p>
        </w:tc>
        <w:tc>
          <w:tcPr>
            <w:tcW w:w="832" w:type="pct"/>
          </w:tcPr>
          <w:p w14:paraId="33B6D5A8" w14:textId="433954B6" w:rsidR="00CD6106" w:rsidRPr="00210AC6" w:rsidRDefault="00CD6106" w:rsidP="00CD6106">
            <w:pPr>
              <w:rPr>
                <w:rFonts w:cs="Arial"/>
                <w:szCs w:val="16"/>
              </w:rPr>
            </w:pPr>
            <w:r w:rsidRPr="00507C8C">
              <w:t>100.00%</w:t>
            </w:r>
          </w:p>
        </w:tc>
        <w:tc>
          <w:tcPr>
            <w:tcW w:w="832" w:type="pct"/>
          </w:tcPr>
          <w:p w14:paraId="082F4D46" w14:textId="2147F3C3" w:rsidR="00CD6106" w:rsidRPr="00210AC6" w:rsidRDefault="00CD6106" w:rsidP="00CD6106">
            <w:pPr>
              <w:rPr>
                <w:rFonts w:cs="Arial"/>
                <w:szCs w:val="16"/>
              </w:rPr>
            </w:pPr>
            <w:r w:rsidRPr="00952E24">
              <w:t>YES</w:t>
            </w:r>
          </w:p>
        </w:tc>
        <w:tc>
          <w:tcPr>
            <w:tcW w:w="832" w:type="pct"/>
          </w:tcPr>
          <w:p w14:paraId="19B43599" w14:textId="6DAFB7B2" w:rsidR="00CD6106" w:rsidRPr="00210AC6" w:rsidRDefault="00CD6106" w:rsidP="00CD6106">
            <w:pPr>
              <w:rPr>
                <w:rFonts w:cs="Arial"/>
                <w:szCs w:val="16"/>
              </w:rPr>
            </w:pPr>
            <w:r w:rsidRPr="00A55644">
              <w:t>2</w:t>
            </w:r>
          </w:p>
        </w:tc>
      </w:tr>
      <w:tr w:rsidR="00CD6106" w:rsidRPr="00210AC6" w14:paraId="36A4B7FF" w14:textId="77777777">
        <w:tc>
          <w:tcPr>
            <w:tcW w:w="2504" w:type="pct"/>
          </w:tcPr>
          <w:p w14:paraId="063A42FA" w14:textId="409F9B89" w:rsidR="00CD6106" w:rsidRPr="00744585" w:rsidRDefault="00CD6106" w:rsidP="00CD6106">
            <w:pPr>
              <w:rPr>
                <w:rFonts w:cs="Arial"/>
                <w:b/>
                <w:bCs/>
                <w:szCs w:val="16"/>
              </w:rPr>
            </w:pPr>
            <w:r w:rsidRPr="00744585">
              <w:rPr>
                <w:b/>
                <w:bCs/>
              </w:rPr>
              <w:t>Indicator 8B: Transition notification</w:t>
            </w:r>
          </w:p>
        </w:tc>
        <w:tc>
          <w:tcPr>
            <w:tcW w:w="832" w:type="pct"/>
          </w:tcPr>
          <w:p w14:paraId="04282CC4" w14:textId="363A58FC" w:rsidR="00CD6106" w:rsidRPr="00210AC6" w:rsidRDefault="00CD6106" w:rsidP="00CD6106">
            <w:pPr>
              <w:rPr>
                <w:rFonts w:cs="Arial"/>
                <w:szCs w:val="16"/>
              </w:rPr>
            </w:pPr>
            <w:r w:rsidRPr="00507C8C">
              <w:t>100.00%</w:t>
            </w:r>
          </w:p>
        </w:tc>
        <w:tc>
          <w:tcPr>
            <w:tcW w:w="832" w:type="pct"/>
          </w:tcPr>
          <w:p w14:paraId="144A1AAC" w14:textId="3EFE5F13" w:rsidR="00CD6106" w:rsidRPr="00210AC6" w:rsidRDefault="00CD6106" w:rsidP="00CD6106">
            <w:pPr>
              <w:rPr>
                <w:rFonts w:cs="Arial"/>
                <w:szCs w:val="16"/>
              </w:rPr>
            </w:pPr>
            <w:r w:rsidRPr="00952E24">
              <w:t>N/A</w:t>
            </w:r>
          </w:p>
        </w:tc>
        <w:tc>
          <w:tcPr>
            <w:tcW w:w="832" w:type="pct"/>
          </w:tcPr>
          <w:p w14:paraId="79EDE630" w14:textId="396018F4" w:rsidR="00CD6106" w:rsidRPr="00210AC6" w:rsidRDefault="00CD6106" w:rsidP="00CD6106">
            <w:pPr>
              <w:rPr>
                <w:rFonts w:cs="Arial"/>
                <w:szCs w:val="16"/>
              </w:rPr>
            </w:pPr>
            <w:r w:rsidRPr="00A55644">
              <w:t>2</w:t>
            </w:r>
          </w:p>
        </w:tc>
      </w:tr>
      <w:tr w:rsidR="00CD6106" w:rsidRPr="00210AC6" w14:paraId="03F7FEC0" w14:textId="77777777">
        <w:tc>
          <w:tcPr>
            <w:tcW w:w="2504" w:type="pct"/>
          </w:tcPr>
          <w:p w14:paraId="68339584" w14:textId="21FB775D" w:rsidR="00CD6106" w:rsidRPr="00744585" w:rsidRDefault="00CD6106" w:rsidP="00CD6106">
            <w:pPr>
              <w:rPr>
                <w:rFonts w:cs="Arial"/>
                <w:b/>
                <w:bCs/>
                <w:szCs w:val="16"/>
              </w:rPr>
            </w:pPr>
            <w:r w:rsidRPr="00744585">
              <w:rPr>
                <w:b/>
                <w:bCs/>
              </w:rPr>
              <w:t>Indicator 8C: Timely transition conference</w:t>
            </w:r>
          </w:p>
        </w:tc>
        <w:tc>
          <w:tcPr>
            <w:tcW w:w="832" w:type="pct"/>
          </w:tcPr>
          <w:p w14:paraId="1DFBC7AA" w14:textId="4ADC5371" w:rsidR="00CD6106" w:rsidRPr="00210AC6" w:rsidRDefault="00CD6106" w:rsidP="00CD6106">
            <w:pPr>
              <w:rPr>
                <w:rFonts w:cs="Arial"/>
                <w:szCs w:val="16"/>
              </w:rPr>
            </w:pPr>
            <w:r w:rsidRPr="00507C8C">
              <w:t>95.37%</w:t>
            </w:r>
          </w:p>
        </w:tc>
        <w:tc>
          <w:tcPr>
            <w:tcW w:w="832" w:type="pct"/>
          </w:tcPr>
          <w:p w14:paraId="5F278F03" w14:textId="64084F84" w:rsidR="00CD6106" w:rsidRPr="00210AC6" w:rsidRDefault="00CD6106" w:rsidP="00CD6106">
            <w:pPr>
              <w:rPr>
                <w:rFonts w:cs="Arial"/>
                <w:szCs w:val="16"/>
              </w:rPr>
            </w:pPr>
            <w:r w:rsidRPr="00952E24">
              <w:t>YES</w:t>
            </w:r>
          </w:p>
        </w:tc>
        <w:tc>
          <w:tcPr>
            <w:tcW w:w="832" w:type="pct"/>
          </w:tcPr>
          <w:p w14:paraId="0BA64028" w14:textId="34BADFBB" w:rsidR="00CD6106" w:rsidRPr="00210AC6" w:rsidRDefault="00CD6106" w:rsidP="00CD6106">
            <w:pPr>
              <w:rPr>
                <w:rFonts w:cs="Arial"/>
                <w:szCs w:val="16"/>
              </w:rPr>
            </w:pPr>
            <w:r w:rsidRPr="00A55644">
              <w:t>2</w:t>
            </w:r>
          </w:p>
        </w:tc>
      </w:tr>
      <w:tr w:rsidR="0090361C" w:rsidRPr="00210AC6" w14:paraId="62011B91" w14:textId="77777777">
        <w:tc>
          <w:tcPr>
            <w:tcW w:w="2504" w:type="pct"/>
          </w:tcPr>
          <w:p w14:paraId="5D83C900" w14:textId="504CAA40" w:rsidR="0090361C" w:rsidRPr="00744585" w:rsidRDefault="0090361C" w:rsidP="0090361C">
            <w:pPr>
              <w:rPr>
                <w:b/>
                <w:bCs/>
              </w:rPr>
            </w:pPr>
            <w:r>
              <w:rPr>
                <w:rFonts w:cs="Arial"/>
                <w:b/>
                <w:bCs/>
                <w:szCs w:val="16"/>
              </w:rPr>
              <w:t>Indicator 12: General Supervision</w:t>
            </w:r>
          </w:p>
        </w:tc>
        <w:tc>
          <w:tcPr>
            <w:tcW w:w="832" w:type="pct"/>
          </w:tcPr>
          <w:p w14:paraId="23C2DE04" w14:textId="4F267BA3" w:rsidR="0090361C" w:rsidRPr="00507C8C" w:rsidRDefault="0090361C" w:rsidP="0090361C">
            <w:r w:rsidRPr="00210AC6">
              <w:rPr>
                <w:rFonts w:cs="Arial"/>
                <w:szCs w:val="16"/>
              </w:rPr>
              <w:t>100.00%</w:t>
            </w:r>
          </w:p>
        </w:tc>
        <w:tc>
          <w:tcPr>
            <w:tcW w:w="832" w:type="pct"/>
          </w:tcPr>
          <w:p w14:paraId="05CC1134" w14:textId="6C0579DA" w:rsidR="0090361C" w:rsidRPr="00952E24" w:rsidRDefault="0090361C" w:rsidP="0090361C">
            <w:r w:rsidRPr="00210AC6">
              <w:rPr>
                <w:rFonts w:cs="Arial"/>
                <w:szCs w:val="16"/>
              </w:rPr>
              <w:t>YES</w:t>
            </w:r>
          </w:p>
        </w:tc>
        <w:tc>
          <w:tcPr>
            <w:tcW w:w="832" w:type="pct"/>
          </w:tcPr>
          <w:p w14:paraId="00BCB1E4" w14:textId="13D76571" w:rsidR="0090361C" w:rsidRPr="00A55644" w:rsidRDefault="0090361C" w:rsidP="0090361C">
            <w:r w:rsidRPr="00210AC6">
              <w:rPr>
                <w:rFonts w:cs="Arial"/>
                <w:szCs w:val="16"/>
              </w:rPr>
              <w:t>2</w:t>
            </w:r>
          </w:p>
        </w:tc>
      </w:tr>
      <w:tr w:rsidR="00CD6106" w:rsidRPr="00210AC6" w14:paraId="32E4E6F4" w14:textId="77777777" w:rsidTr="00CD6106">
        <w:tc>
          <w:tcPr>
            <w:tcW w:w="2504" w:type="pct"/>
          </w:tcPr>
          <w:p w14:paraId="5BF4B269" w14:textId="077DB3CA" w:rsidR="00CD6106" w:rsidRPr="00744585" w:rsidRDefault="00CD6106" w:rsidP="00CD6106">
            <w:pPr>
              <w:rPr>
                <w:rFonts w:cs="Arial"/>
                <w:b/>
                <w:bCs/>
                <w:szCs w:val="16"/>
              </w:rPr>
            </w:pPr>
            <w:r w:rsidRPr="00744585">
              <w:rPr>
                <w:b/>
                <w:bCs/>
              </w:rPr>
              <w:t>Timely and Accurate State-Reported Data</w:t>
            </w:r>
          </w:p>
        </w:tc>
        <w:tc>
          <w:tcPr>
            <w:tcW w:w="832" w:type="pct"/>
          </w:tcPr>
          <w:p w14:paraId="556D5BDB" w14:textId="6626AD04" w:rsidR="00CD6106" w:rsidRPr="00210AC6" w:rsidRDefault="00CD6106" w:rsidP="00CD6106">
            <w:pPr>
              <w:rPr>
                <w:rFonts w:cs="Arial"/>
                <w:szCs w:val="16"/>
              </w:rPr>
            </w:pPr>
            <w:r w:rsidRPr="00507C8C">
              <w:t>100.00%</w:t>
            </w:r>
          </w:p>
        </w:tc>
        <w:tc>
          <w:tcPr>
            <w:tcW w:w="832" w:type="pct"/>
            <w:shd w:val="clear" w:color="auto" w:fill="BFBFBF" w:themeFill="background1" w:themeFillShade="BF"/>
          </w:tcPr>
          <w:p w14:paraId="5F69C81C" w14:textId="724484CE" w:rsidR="00CD6106" w:rsidRPr="00210AC6" w:rsidRDefault="00CD6106" w:rsidP="00CD6106">
            <w:pPr>
              <w:rPr>
                <w:rFonts w:cs="Arial"/>
                <w:szCs w:val="16"/>
              </w:rPr>
            </w:pPr>
          </w:p>
        </w:tc>
        <w:tc>
          <w:tcPr>
            <w:tcW w:w="832" w:type="pct"/>
          </w:tcPr>
          <w:p w14:paraId="782EB50F" w14:textId="48C7E70F" w:rsidR="00CD6106" w:rsidRPr="00210AC6" w:rsidRDefault="00CD6106" w:rsidP="00CD6106">
            <w:pPr>
              <w:rPr>
                <w:rFonts w:cs="Arial"/>
                <w:szCs w:val="16"/>
              </w:rPr>
            </w:pPr>
            <w:r w:rsidRPr="00A55644">
              <w:t>2</w:t>
            </w:r>
          </w:p>
        </w:tc>
      </w:tr>
      <w:tr w:rsidR="00CD6106" w:rsidRPr="00210AC6" w14:paraId="7F568EB3" w14:textId="77777777" w:rsidTr="00CD6106">
        <w:tc>
          <w:tcPr>
            <w:tcW w:w="2504" w:type="pct"/>
          </w:tcPr>
          <w:p w14:paraId="127CE4B4" w14:textId="176F6137" w:rsidR="00CD6106" w:rsidRPr="00744585" w:rsidRDefault="00CD6106" w:rsidP="00CD6106">
            <w:pPr>
              <w:rPr>
                <w:rFonts w:cs="Arial"/>
                <w:b/>
                <w:bCs/>
                <w:szCs w:val="16"/>
              </w:rPr>
            </w:pPr>
            <w:r w:rsidRPr="00744585">
              <w:rPr>
                <w:b/>
                <w:bCs/>
              </w:rPr>
              <w:t>Timely State Complaint Decisions</w:t>
            </w:r>
          </w:p>
        </w:tc>
        <w:tc>
          <w:tcPr>
            <w:tcW w:w="832" w:type="pct"/>
          </w:tcPr>
          <w:p w14:paraId="5C5E7A7F" w14:textId="544E66B7" w:rsidR="00CD6106" w:rsidRPr="00210AC6" w:rsidRDefault="00CD6106" w:rsidP="00CD6106">
            <w:pPr>
              <w:rPr>
                <w:rFonts w:cs="Arial"/>
                <w:szCs w:val="16"/>
              </w:rPr>
            </w:pPr>
            <w:r w:rsidRPr="00507C8C">
              <w:t>100.00%</w:t>
            </w:r>
          </w:p>
        </w:tc>
        <w:tc>
          <w:tcPr>
            <w:tcW w:w="832" w:type="pct"/>
            <w:shd w:val="clear" w:color="auto" w:fill="BFBFBF" w:themeFill="background1" w:themeFillShade="BF"/>
          </w:tcPr>
          <w:p w14:paraId="2F8E4150" w14:textId="77777777" w:rsidR="00CD6106" w:rsidRPr="00210AC6" w:rsidRDefault="00CD6106" w:rsidP="00CD6106">
            <w:pPr>
              <w:rPr>
                <w:rFonts w:cs="Arial"/>
                <w:szCs w:val="16"/>
              </w:rPr>
            </w:pPr>
          </w:p>
        </w:tc>
        <w:tc>
          <w:tcPr>
            <w:tcW w:w="832" w:type="pct"/>
            <w:shd w:val="clear" w:color="auto" w:fill="auto"/>
          </w:tcPr>
          <w:p w14:paraId="7F6C7878" w14:textId="71F5AE25" w:rsidR="00CD6106" w:rsidRPr="00210AC6" w:rsidRDefault="00CD6106" w:rsidP="00CD6106">
            <w:pPr>
              <w:rPr>
                <w:rFonts w:cs="Arial"/>
                <w:szCs w:val="16"/>
              </w:rPr>
            </w:pPr>
            <w:r w:rsidRPr="00A55644">
              <w:t>2</w:t>
            </w:r>
          </w:p>
        </w:tc>
      </w:tr>
      <w:tr w:rsidR="00CD6106" w:rsidRPr="00210AC6" w14:paraId="6477FACC" w14:textId="77777777" w:rsidTr="00CD6106">
        <w:tc>
          <w:tcPr>
            <w:tcW w:w="2504" w:type="pct"/>
          </w:tcPr>
          <w:p w14:paraId="36AD53A7" w14:textId="10A96C7C" w:rsidR="00CD6106" w:rsidRPr="00744585" w:rsidRDefault="00CD6106" w:rsidP="00CD6106">
            <w:pPr>
              <w:rPr>
                <w:rFonts w:cs="Arial"/>
                <w:b/>
                <w:bCs/>
                <w:szCs w:val="16"/>
              </w:rPr>
            </w:pPr>
            <w:r w:rsidRPr="00744585">
              <w:rPr>
                <w:b/>
                <w:bCs/>
              </w:rPr>
              <w:t>Timely Due Process Hearing Decisions</w:t>
            </w:r>
          </w:p>
        </w:tc>
        <w:tc>
          <w:tcPr>
            <w:tcW w:w="832" w:type="pct"/>
          </w:tcPr>
          <w:p w14:paraId="326EF36D" w14:textId="1E4E29EA" w:rsidR="00CD6106" w:rsidRPr="00210AC6" w:rsidRDefault="00CD6106" w:rsidP="00CD6106">
            <w:pPr>
              <w:rPr>
                <w:rFonts w:cs="Arial"/>
                <w:szCs w:val="16"/>
              </w:rPr>
            </w:pPr>
            <w:r w:rsidRPr="00507C8C">
              <w:t>N/A</w:t>
            </w:r>
          </w:p>
        </w:tc>
        <w:tc>
          <w:tcPr>
            <w:tcW w:w="832" w:type="pct"/>
            <w:shd w:val="clear" w:color="auto" w:fill="BFBFBF" w:themeFill="background1" w:themeFillShade="BF"/>
          </w:tcPr>
          <w:p w14:paraId="657D7A8E" w14:textId="77777777" w:rsidR="00CD6106" w:rsidRPr="00210AC6" w:rsidRDefault="00CD6106" w:rsidP="00CD6106">
            <w:pPr>
              <w:rPr>
                <w:rFonts w:cs="Arial"/>
                <w:szCs w:val="16"/>
              </w:rPr>
            </w:pPr>
          </w:p>
        </w:tc>
        <w:tc>
          <w:tcPr>
            <w:tcW w:w="832" w:type="pct"/>
            <w:shd w:val="clear" w:color="auto" w:fill="auto"/>
          </w:tcPr>
          <w:p w14:paraId="19D39140" w14:textId="66532830" w:rsidR="00CD6106" w:rsidRPr="00210AC6" w:rsidRDefault="00CD6106" w:rsidP="00CD6106">
            <w:pPr>
              <w:rPr>
                <w:rFonts w:cs="Arial"/>
                <w:szCs w:val="16"/>
              </w:rPr>
            </w:pPr>
            <w:r w:rsidRPr="00A55644">
              <w:t>N/A</w:t>
            </w:r>
          </w:p>
        </w:tc>
      </w:tr>
      <w:tr w:rsidR="00CD6106" w:rsidRPr="00210AC6" w14:paraId="2D259B5E" w14:textId="77777777" w:rsidTr="00CD6106">
        <w:tc>
          <w:tcPr>
            <w:tcW w:w="2504" w:type="pct"/>
          </w:tcPr>
          <w:p w14:paraId="69DD46F0" w14:textId="59E403D9" w:rsidR="00CD6106" w:rsidRPr="00744585" w:rsidRDefault="00CD6106" w:rsidP="00CD6106">
            <w:pPr>
              <w:rPr>
                <w:rFonts w:cs="Arial"/>
                <w:b/>
                <w:bCs/>
                <w:szCs w:val="16"/>
              </w:rPr>
            </w:pPr>
            <w:r w:rsidRPr="00744585">
              <w:rPr>
                <w:b/>
                <w:bCs/>
              </w:rPr>
              <w:t>Longstanding Noncompliance</w:t>
            </w:r>
          </w:p>
        </w:tc>
        <w:tc>
          <w:tcPr>
            <w:tcW w:w="832" w:type="pct"/>
            <w:shd w:val="clear" w:color="auto" w:fill="BFBFBF" w:themeFill="background1" w:themeFillShade="BF"/>
          </w:tcPr>
          <w:p w14:paraId="68F7556E" w14:textId="6A0D323C" w:rsidR="00CD6106" w:rsidRPr="00210AC6" w:rsidRDefault="00CD6106" w:rsidP="00CD6106">
            <w:pPr>
              <w:rPr>
                <w:rFonts w:cs="Arial"/>
                <w:szCs w:val="16"/>
              </w:rPr>
            </w:pPr>
          </w:p>
        </w:tc>
        <w:tc>
          <w:tcPr>
            <w:tcW w:w="832" w:type="pct"/>
            <w:shd w:val="clear" w:color="auto" w:fill="BFBFBF" w:themeFill="background1" w:themeFillShade="BF"/>
          </w:tcPr>
          <w:p w14:paraId="73953A8B" w14:textId="77777777" w:rsidR="00CD6106" w:rsidRPr="00210AC6" w:rsidRDefault="00CD6106" w:rsidP="00CD6106">
            <w:pPr>
              <w:rPr>
                <w:rFonts w:cs="Arial"/>
                <w:szCs w:val="16"/>
              </w:rPr>
            </w:pPr>
          </w:p>
        </w:tc>
        <w:tc>
          <w:tcPr>
            <w:tcW w:w="832" w:type="pct"/>
            <w:shd w:val="clear" w:color="auto" w:fill="auto"/>
          </w:tcPr>
          <w:p w14:paraId="3EF3E1AE" w14:textId="134BF8A5" w:rsidR="00CD6106" w:rsidRPr="00210AC6" w:rsidRDefault="00CD6106" w:rsidP="00CD6106">
            <w:pPr>
              <w:rPr>
                <w:rFonts w:cs="Arial"/>
                <w:szCs w:val="16"/>
              </w:rPr>
            </w:pPr>
            <w:r w:rsidRPr="00A55644">
              <w:t>2</w:t>
            </w:r>
          </w:p>
        </w:tc>
      </w:tr>
      <w:tr w:rsidR="00D37150" w:rsidRPr="00210AC6" w14:paraId="45A6B561" w14:textId="77777777" w:rsidTr="00CD6106">
        <w:tc>
          <w:tcPr>
            <w:tcW w:w="2504" w:type="pct"/>
          </w:tcPr>
          <w:p w14:paraId="16C61FBF" w14:textId="687D466E" w:rsidR="00D37150" w:rsidRPr="00744585" w:rsidRDefault="00A1023C" w:rsidP="00CC7B98">
            <w:pPr>
              <w:ind w:left="720"/>
              <w:rPr>
                <w:rFonts w:cs="Arial"/>
                <w:b/>
                <w:bCs/>
                <w:szCs w:val="16"/>
              </w:rPr>
            </w:pPr>
            <w:r>
              <w:rPr>
                <w:b/>
                <w:bCs/>
              </w:rPr>
              <w:t>Programmatic Specific Conditions</w:t>
            </w:r>
          </w:p>
        </w:tc>
        <w:tc>
          <w:tcPr>
            <w:tcW w:w="832" w:type="pct"/>
            <w:shd w:val="clear" w:color="auto" w:fill="auto"/>
          </w:tcPr>
          <w:p w14:paraId="49BC9783" w14:textId="031D5B46" w:rsidR="00D37150" w:rsidRPr="00210AC6" w:rsidRDefault="00D37150" w:rsidP="00D37150">
            <w:pPr>
              <w:rPr>
                <w:rFonts w:cs="Arial"/>
                <w:szCs w:val="16"/>
              </w:rPr>
            </w:pPr>
            <w:r w:rsidRPr="003511D1">
              <w:t>None</w:t>
            </w:r>
          </w:p>
        </w:tc>
        <w:tc>
          <w:tcPr>
            <w:tcW w:w="832" w:type="pct"/>
            <w:shd w:val="clear" w:color="auto" w:fill="BFBFBF" w:themeFill="background1" w:themeFillShade="BF"/>
          </w:tcPr>
          <w:p w14:paraId="630D4E1C" w14:textId="77777777" w:rsidR="00D37150" w:rsidRPr="00210AC6" w:rsidRDefault="00D37150" w:rsidP="00D37150">
            <w:pPr>
              <w:rPr>
                <w:rFonts w:cs="Arial"/>
                <w:szCs w:val="16"/>
              </w:rPr>
            </w:pPr>
          </w:p>
        </w:tc>
        <w:tc>
          <w:tcPr>
            <w:tcW w:w="832" w:type="pct"/>
            <w:shd w:val="clear" w:color="auto" w:fill="BFBFBF" w:themeFill="background1" w:themeFillShade="BF"/>
          </w:tcPr>
          <w:p w14:paraId="107A79FE" w14:textId="08CF9082" w:rsidR="00D37150" w:rsidRPr="00210AC6" w:rsidRDefault="00D37150" w:rsidP="00D37150">
            <w:pPr>
              <w:rPr>
                <w:rFonts w:cs="Arial"/>
                <w:szCs w:val="16"/>
              </w:rPr>
            </w:pPr>
          </w:p>
        </w:tc>
      </w:tr>
      <w:tr w:rsidR="00D37150" w:rsidRPr="00210AC6" w14:paraId="60E83BF7" w14:textId="77777777" w:rsidTr="00CD6106">
        <w:tc>
          <w:tcPr>
            <w:tcW w:w="2504" w:type="pct"/>
          </w:tcPr>
          <w:p w14:paraId="2789153E" w14:textId="5D7586C7" w:rsidR="00D37150" w:rsidRPr="00744585" w:rsidRDefault="00D37150" w:rsidP="00CC7B98">
            <w:pPr>
              <w:ind w:left="720"/>
              <w:rPr>
                <w:rFonts w:cs="Arial"/>
                <w:b/>
                <w:bCs/>
                <w:szCs w:val="16"/>
              </w:rPr>
            </w:pPr>
            <w:r w:rsidRPr="00744585">
              <w:rPr>
                <w:b/>
                <w:bCs/>
              </w:rPr>
              <w:t>Uncorrected identified noncompliance</w:t>
            </w:r>
          </w:p>
        </w:tc>
        <w:tc>
          <w:tcPr>
            <w:tcW w:w="832" w:type="pct"/>
          </w:tcPr>
          <w:p w14:paraId="5100BE8B" w14:textId="38FD3580" w:rsidR="00D37150" w:rsidRPr="00210AC6" w:rsidRDefault="00D37150" w:rsidP="00D37150">
            <w:pPr>
              <w:rPr>
                <w:rFonts w:cs="Arial"/>
                <w:szCs w:val="16"/>
              </w:rPr>
            </w:pPr>
            <w:r w:rsidRPr="003511D1">
              <w:t>None</w:t>
            </w:r>
          </w:p>
        </w:tc>
        <w:tc>
          <w:tcPr>
            <w:tcW w:w="832" w:type="pct"/>
            <w:shd w:val="clear" w:color="auto" w:fill="BFBFBF" w:themeFill="background1" w:themeFillShade="BF"/>
          </w:tcPr>
          <w:p w14:paraId="249ABE3A" w14:textId="77777777" w:rsidR="00D37150" w:rsidRPr="00210AC6" w:rsidRDefault="00D37150" w:rsidP="00D37150">
            <w:pPr>
              <w:rPr>
                <w:rFonts w:cs="Arial"/>
                <w:szCs w:val="16"/>
              </w:rPr>
            </w:pPr>
          </w:p>
        </w:tc>
        <w:tc>
          <w:tcPr>
            <w:tcW w:w="832" w:type="pct"/>
            <w:shd w:val="clear" w:color="auto" w:fill="BFBFBF" w:themeFill="background1" w:themeFillShade="BF"/>
          </w:tcPr>
          <w:p w14:paraId="5F8087D7" w14:textId="77777777" w:rsidR="00D37150" w:rsidRPr="00210AC6" w:rsidRDefault="00D37150" w:rsidP="00D37150">
            <w:pPr>
              <w:rPr>
                <w:rFonts w:cs="Arial"/>
                <w:szCs w:val="16"/>
              </w:rPr>
            </w:pPr>
          </w:p>
        </w:tc>
      </w:tr>
    </w:tbl>
    <w:p w14:paraId="39D2862A" w14:textId="4289FC32" w:rsidR="002D7557" w:rsidRDefault="002D7557" w:rsidP="000135C2">
      <w:pPr>
        <w:rPr>
          <w:rFonts w:cs="Arial"/>
          <w:b/>
          <w:szCs w:val="16"/>
        </w:rPr>
      </w:pPr>
    </w:p>
    <w:p w14:paraId="37806691" w14:textId="77777777" w:rsidR="000552BC" w:rsidRPr="000552BC" w:rsidRDefault="00976350" w:rsidP="00DE3712">
      <w:pPr>
        <w:spacing w:before="0" w:after="0"/>
      </w:pPr>
      <w:r w:rsidRPr="00D731C8">
        <w:rPr>
          <w:rFonts w:cs="Arial"/>
          <w:b/>
          <w:szCs w:val="16"/>
        </w:rPr>
        <w:t xml:space="preserve">(2) </w:t>
      </w:r>
      <w:r w:rsidRPr="00D731C8">
        <w:rPr>
          <w:b/>
          <w:szCs w:val="16"/>
        </w:rPr>
        <w:t xml:space="preserve">The complete language for each indicator is located in the Part </w:t>
      </w:r>
      <w:r w:rsidR="00B37A83">
        <w:rPr>
          <w:b/>
          <w:szCs w:val="16"/>
        </w:rPr>
        <w:t>C</w:t>
      </w:r>
      <w:r w:rsidR="00B37A83" w:rsidRPr="00D731C8">
        <w:rPr>
          <w:b/>
          <w:szCs w:val="16"/>
        </w:rPr>
        <w:t xml:space="preserve"> </w:t>
      </w:r>
      <w:r w:rsidRPr="00D731C8">
        <w:rPr>
          <w:b/>
          <w:szCs w:val="16"/>
        </w:rPr>
        <w:t xml:space="preserve">SPP/APR Indicator Measurement Table at: </w:t>
      </w:r>
    </w:p>
    <w:p w14:paraId="1F0B44F3" w14:textId="77777777" w:rsidR="000552BC" w:rsidRPr="000552BC" w:rsidRDefault="00A620D4" w:rsidP="00DE3712">
      <w:pPr>
        <w:spacing w:before="0"/>
        <w:rPr>
          <w:b/>
          <w:u w:val="single"/>
        </w:rPr>
      </w:pPr>
      <w:hyperlink r:id="rId14" w:history="1">
        <w:r w:rsidR="000552BC" w:rsidRPr="000552BC">
          <w:rPr>
            <w:rStyle w:val="Hyperlink"/>
            <w:b/>
          </w:rPr>
          <w:t>https://sites.ed.gov/idea/files/FFY2023-Part-C-SPP-APR-Reformatted-Measurement-Table.pdf</w:t>
        </w:r>
      </w:hyperlink>
    </w:p>
    <w:p w14:paraId="19FE1FC2" w14:textId="3564A74C" w:rsidR="000F68E8" w:rsidRDefault="00976350" w:rsidP="00DE3712">
      <w:pPr>
        <w:spacing w:before="0" w:after="0"/>
        <w:rPr>
          <w:b/>
        </w:rPr>
      </w:pPr>
      <w:r w:rsidRPr="00D731C8">
        <w:rPr>
          <w:rFonts w:cs="Arial"/>
          <w:b/>
          <w:szCs w:val="16"/>
        </w:rPr>
        <w:t xml:space="preserve">(3) </w:t>
      </w:r>
      <w:r w:rsidRPr="00D731C8">
        <w:rPr>
          <w:b/>
        </w:rPr>
        <w:t>This column reflects full correction, which is factored into the scoring only when the compliance data are &gt;=90% and &lt;95% for an indicator.</w:t>
      </w:r>
    </w:p>
    <w:p w14:paraId="429CF3AA" w14:textId="0490D998" w:rsidR="002D7557" w:rsidRPr="00B37A83" w:rsidRDefault="002D7557" w:rsidP="00B37A83">
      <w:pPr>
        <w:spacing w:after="120"/>
      </w:pPr>
      <w:r>
        <w:rPr>
          <w:rFonts w:cs="Arial"/>
          <w:b/>
          <w:szCs w:val="16"/>
        </w:rPr>
        <w:br w:type="page"/>
      </w:r>
    </w:p>
    <w:p w14:paraId="32684C73" w14:textId="77777777" w:rsidR="0081611B" w:rsidRPr="0081611B" w:rsidRDefault="0081611B" w:rsidP="0081611B">
      <w:pPr>
        <w:rPr>
          <w:rFonts w:cs="Arial"/>
          <w:b/>
          <w:bCs/>
          <w:szCs w:val="16"/>
        </w:rPr>
      </w:pPr>
      <w:r w:rsidRPr="0081611B">
        <w:rPr>
          <w:rFonts w:cs="Arial"/>
          <w:b/>
          <w:bCs/>
          <w:szCs w:val="16"/>
        </w:rPr>
        <w:lastRenderedPageBreak/>
        <w:t>Appendix A</w:t>
      </w:r>
    </w:p>
    <w:p w14:paraId="67239D8E" w14:textId="77777777" w:rsidR="00E34D8D" w:rsidRDefault="00E34D8D" w:rsidP="0081611B">
      <w:pPr>
        <w:rPr>
          <w:rFonts w:cs="Arial"/>
          <w:b/>
          <w:bCs/>
          <w:szCs w:val="16"/>
        </w:rPr>
      </w:pPr>
    </w:p>
    <w:p w14:paraId="286DC182" w14:textId="77777777" w:rsidR="00A67CEE" w:rsidRDefault="0081611B" w:rsidP="0081611B">
      <w:pPr>
        <w:rPr>
          <w:rFonts w:cs="Arial"/>
          <w:b/>
          <w:bCs/>
          <w:szCs w:val="16"/>
        </w:rPr>
      </w:pPr>
      <w:r w:rsidRPr="0081611B">
        <w:rPr>
          <w:rFonts w:cs="Arial"/>
          <w:b/>
          <w:bCs/>
          <w:szCs w:val="16"/>
        </w:rPr>
        <w:t xml:space="preserve">I. (a) Data Completeness: </w:t>
      </w:r>
    </w:p>
    <w:p w14:paraId="6649A1BB" w14:textId="0F2EF547" w:rsidR="0081611B" w:rsidRPr="0081611B" w:rsidRDefault="0081611B" w:rsidP="0081611B">
      <w:pPr>
        <w:rPr>
          <w:rFonts w:cs="Arial"/>
          <w:b/>
          <w:bCs/>
          <w:szCs w:val="16"/>
        </w:rPr>
      </w:pPr>
      <w:r w:rsidRPr="0081611B">
        <w:rPr>
          <w:rFonts w:cs="Arial"/>
          <w:b/>
          <w:bCs/>
          <w:szCs w:val="16"/>
        </w:rPr>
        <w:t>The Percent of Children Included in your State's 2023 Outcomes Data (Indicator C3)</w:t>
      </w:r>
    </w:p>
    <w:p w14:paraId="31CE677D" w14:textId="071951AC" w:rsidR="0081611B" w:rsidRPr="00E34D8D" w:rsidRDefault="0081611B" w:rsidP="0081611B">
      <w:pPr>
        <w:rPr>
          <w:rFonts w:cs="Arial"/>
          <w:bCs/>
          <w:szCs w:val="16"/>
        </w:rPr>
      </w:pPr>
      <w:r w:rsidRPr="00E34D8D">
        <w:rPr>
          <w:rFonts w:cs="Arial"/>
          <w:bCs/>
          <w:szCs w:val="16"/>
        </w:rPr>
        <w:t>Data completeness was calculated using the total number of Part C children who were included in your State’s FFY 2023 Outcomes Data (C3) and the total number of children your State reported in its FFY 2023 IDEA Section 618 data. A percentage for your State was computed by dividing the number of children reported in your State’s Indicator C3 data by the number of children your State reported exited during FFY 2023 in the State’s FFY 2023 IDEA Section 618 Exit Data.</w:t>
      </w:r>
    </w:p>
    <w:tbl>
      <w:tblPr>
        <w:tblStyle w:val="TableGrid1"/>
        <w:tblW w:w="5010" w:type="pct"/>
        <w:tblLook w:val="04A0" w:firstRow="1" w:lastRow="0" w:firstColumn="1" w:lastColumn="0" w:noHBand="0" w:noVBand="1"/>
        <w:tblCaption w:val="CAPPASCR"/>
        <w:tblDescription w:val="Data Completeness Score"/>
      </w:tblPr>
      <w:tblGrid>
        <w:gridCol w:w="3170"/>
        <w:gridCol w:w="7642"/>
      </w:tblGrid>
      <w:tr w:rsidR="0081611B" w:rsidRPr="0081611B" w14:paraId="1E828877" w14:textId="77777777" w:rsidTr="0081611B">
        <w:tc>
          <w:tcPr>
            <w:tcW w:w="1466" w:type="pct"/>
            <w:hideMark/>
          </w:tcPr>
          <w:p w14:paraId="5664F71B" w14:textId="77777777" w:rsidR="0081611B" w:rsidRPr="0081611B" w:rsidRDefault="0081611B" w:rsidP="0081611B">
            <w:pPr>
              <w:rPr>
                <w:rFonts w:cs="Arial"/>
                <w:b/>
                <w:szCs w:val="16"/>
              </w:rPr>
            </w:pPr>
            <w:r w:rsidRPr="0081611B">
              <w:rPr>
                <w:rFonts w:cs="Arial"/>
                <w:b/>
                <w:szCs w:val="16"/>
              </w:rPr>
              <w:t>Data Completeness Score</w:t>
            </w:r>
          </w:p>
        </w:tc>
        <w:tc>
          <w:tcPr>
            <w:tcW w:w="3534" w:type="pct"/>
            <w:hideMark/>
          </w:tcPr>
          <w:p w14:paraId="7A68B8B2" w14:textId="77777777" w:rsidR="0081611B" w:rsidRPr="0081611B" w:rsidRDefault="0081611B" w:rsidP="0081611B">
            <w:pPr>
              <w:rPr>
                <w:rFonts w:cs="Arial"/>
                <w:b/>
                <w:szCs w:val="16"/>
              </w:rPr>
            </w:pPr>
            <w:r w:rsidRPr="0081611B">
              <w:rPr>
                <w:rFonts w:cs="Arial"/>
                <w:b/>
                <w:szCs w:val="16"/>
              </w:rPr>
              <w:t>Percent of Part C Children included in Outcomes Data (C3) and 618 Data</w:t>
            </w:r>
          </w:p>
        </w:tc>
      </w:tr>
      <w:tr w:rsidR="0081611B" w:rsidRPr="0081611B" w14:paraId="5E16B78F" w14:textId="77777777" w:rsidTr="0081611B">
        <w:tc>
          <w:tcPr>
            <w:tcW w:w="1466" w:type="pct"/>
            <w:noWrap/>
            <w:hideMark/>
          </w:tcPr>
          <w:p w14:paraId="10BA0431" w14:textId="77777777" w:rsidR="0081611B" w:rsidRPr="0081611B" w:rsidRDefault="0081611B" w:rsidP="0081611B">
            <w:pPr>
              <w:rPr>
                <w:rFonts w:cs="Arial"/>
                <w:b/>
                <w:szCs w:val="16"/>
              </w:rPr>
            </w:pPr>
            <w:r w:rsidRPr="0081611B">
              <w:rPr>
                <w:rFonts w:cs="Arial"/>
                <w:b/>
                <w:szCs w:val="16"/>
              </w:rPr>
              <w:t>0</w:t>
            </w:r>
          </w:p>
        </w:tc>
        <w:tc>
          <w:tcPr>
            <w:tcW w:w="3534" w:type="pct"/>
            <w:noWrap/>
            <w:hideMark/>
          </w:tcPr>
          <w:p w14:paraId="4B3F7FCD" w14:textId="77777777" w:rsidR="0081611B" w:rsidRPr="0081611B" w:rsidRDefault="0081611B" w:rsidP="0081611B">
            <w:pPr>
              <w:rPr>
                <w:rFonts w:cs="Arial"/>
                <w:b/>
                <w:szCs w:val="16"/>
              </w:rPr>
            </w:pPr>
            <w:r w:rsidRPr="0081611B">
              <w:rPr>
                <w:rFonts w:cs="Arial"/>
                <w:b/>
                <w:szCs w:val="16"/>
              </w:rPr>
              <w:t>Lower than 34%</w:t>
            </w:r>
          </w:p>
        </w:tc>
      </w:tr>
      <w:tr w:rsidR="0081611B" w:rsidRPr="0081611B" w14:paraId="7E26AC3E" w14:textId="77777777" w:rsidTr="0081611B">
        <w:tc>
          <w:tcPr>
            <w:tcW w:w="1466" w:type="pct"/>
            <w:noWrap/>
            <w:hideMark/>
          </w:tcPr>
          <w:p w14:paraId="288CCBDB" w14:textId="77777777" w:rsidR="0081611B" w:rsidRPr="0081611B" w:rsidRDefault="0081611B" w:rsidP="0081611B">
            <w:pPr>
              <w:rPr>
                <w:rFonts w:cs="Arial"/>
                <w:b/>
                <w:szCs w:val="16"/>
              </w:rPr>
            </w:pPr>
            <w:r w:rsidRPr="0081611B">
              <w:rPr>
                <w:rFonts w:cs="Arial"/>
                <w:b/>
                <w:szCs w:val="16"/>
              </w:rPr>
              <w:t>1</w:t>
            </w:r>
          </w:p>
        </w:tc>
        <w:tc>
          <w:tcPr>
            <w:tcW w:w="3534" w:type="pct"/>
            <w:noWrap/>
            <w:hideMark/>
          </w:tcPr>
          <w:p w14:paraId="3C756168" w14:textId="77777777" w:rsidR="0081611B" w:rsidRPr="0081611B" w:rsidRDefault="0081611B" w:rsidP="0081611B">
            <w:pPr>
              <w:rPr>
                <w:rFonts w:cs="Arial"/>
                <w:b/>
                <w:szCs w:val="16"/>
              </w:rPr>
            </w:pPr>
            <w:r w:rsidRPr="0081611B">
              <w:rPr>
                <w:rFonts w:cs="Arial"/>
                <w:b/>
                <w:szCs w:val="16"/>
              </w:rPr>
              <w:t>34% through 64%</w:t>
            </w:r>
          </w:p>
        </w:tc>
      </w:tr>
      <w:tr w:rsidR="0081611B" w:rsidRPr="0081611B" w14:paraId="2E5D2190" w14:textId="77777777" w:rsidTr="0081611B">
        <w:tc>
          <w:tcPr>
            <w:tcW w:w="1466" w:type="pct"/>
            <w:noWrap/>
            <w:hideMark/>
          </w:tcPr>
          <w:p w14:paraId="2CAAC215" w14:textId="77777777" w:rsidR="0081611B" w:rsidRPr="0081611B" w:rsidRDefault="0081611B" w:rsidP="0081611B">
            <w:pPr>
              <w:rPr>
                <w:rFonts w:cs="Arial"/>
                <w:b/>
                <w:szCs w:val="16"/>
              </w:rPr>
            </w:pPr>
            <w:r w:rsidRPr="0081611B">
              <w:rPr>
                <w:rFonts w:cs="Arial"/>
                <w:b/>
                <w:szCs w:val="16"/>
              </w:rPr>
              <w:t>2</w:t>
            </w:r>
          </w:p>
        </w:tc>
        <w:tc>
          <w:tcPr>
            <w:tcW w:w="3534" w:type="pct"/>
            <w:noWrap/>
            <w:hideMark/>
          </w:tcPr>
          <w:p w14:paraId="2DE46756" w14:textId="77777777" w:rsidR="0081611B" w:rsidRPr="0081611B" w:rsidRDefault="0081611B" w:rsidP="0081611B">
            <w:pPr>
              <w:rPr>
                <w:rFonts w:cs="Arial"/>
                <w:b/>
                <w:szCs w:val="16"/>
              </w:rPr>
            </w:pPr>
            <w:r w:rsidRPr="0081611B">
              <w:rPr>
                <w:rFonts w:cs="Arial"/>
                <w:b/>
                <w:szCs w:val="16"/>
              </w:rPr>
              <w:t>65% and above</w:t>
            </w:r>
          </w:p>
        </w:tc>
      </w:tr>
    </w:tbl>
    <w:p w14:paraId="5C71BF9D" w14:textId="5406494D" w:rsidR="00A241E8" w:rsidRDefault="00A241E8" w:rsidP="0081611B">
      <w:pPr>
        <w:rPr>
          <w:rFonts w:cs="Arial"/>
          <w:b/>
          <w:szCs w:val="16"/>
        </w:rPr>
      </w:pPr>
    </w:p>
    <w:p w14:paraId="1036E871" w14:textId="77777777" w:rsidR="00A241E8" w:rsidRDefault="00A241E8">
      <w:pPr>
        <w:spacing w:before="0" w:after="200" w:line="276" w:lineRule="auto"/>
        <w:rPr>
          <w:rFonts w:cs="Arial"/>
          <w:b/>
          <w:szCs w:val="16"/>
        </w:rPr>
      </w:pPr>
      <w:r>
        <w:rPr>
          <w:rFonts w:cs="Arial"/>
          <w:b/>
          <w:szCs w:val="16"/>
        </w:rPr>
        <w:br w:type="page"/>
      </w:r>
    </w:p>
    <w:p w14:paraId="01561F3A" w14:textId="13C66607" w:rsidR="002F672B" w:rsidRDefault="002F672B" w:rsidP="002F672B">
      <w:pPr>
        <w:rPr>
          <w:rFonts w:cs="Arial"/>
          <w:b/>
          <w:bCs/>
          <w:szCs w:val="16"/>
        </w:rPr>
      </w:pPr>
      <w:r w:rsidRPr="002F672B">
        <w:rPr>
          <w:rFonts w:cs="Arial"/>
          <w:b/>
          <w:bCs/>
          <w:szCs w:val="16"/>
        </w:rPr>
        <w:lastRenderedPageBreak/>
        <w:t>Appendix B</w:t>
      </w:r>
    </w:p>
    <w:p w14:paraId="3D44E82B" w14:textId="77777777" w:rsidR="00A67CEE" w:rsidRPr="002F672B" w:rsidRDefault="00A67CEE" w:rsidP="002F672B">
      <w:pPr>
        <w:rPr>
          <w:rFonts w:cs="Arial"/>
          <w:b/>
          <w:bCs/>
          <w:szCs w:val="16"/>
        </w:rPr>
      </w:pPr>
    </w:p>
    <w:p w14:paraId="42BD0C32" w14:textId="77777777" w:rsidR="00A67CEE" w:rsidRDefault="002F672B" w:rsidP="002F672B">
      <w:pPr>
        <w:rPr>
          <w:rFonts w:cs="Arial"/>
          <w:b/>
          <w:bCs/>
          <w:szCs w:val="16"/>
        </w:rPr>
      </w:pPr>
      <w:r w:rsidRPr="002F672B">
        <w:rPr>
          <w:rFonts w:cs="Arial"/>
          <w:b/>
          <w:bCs/>
          <w:szCs w:val="16"/>
        </w:rPr>
        <w:t xml:space="preserve">I. (b) Data Quality: </w:t>
      </w:r>
    </w:p>
    <w:p w14:paraId="5FF8ACA4" w14:textId="715EDDF7" w:rsidR="002F672B" w:rsidRPr="002F672B" w:rsidRDefault="002F672B" w:rsidP="002F672B">
      <w:pPr>
        <w:rPr>
          <w:rFonts w:cs="Arial"/>
          <w:b/>
          <w:bCs/>
          <w:szCs w:val="16"/>
        </w:rPr>
      </w:pPr>
      <w:r w:rsidRPr="002F672B">
        <w:rPr>
          <w:rFonts w:cs="Arial"/>
          <w:b/>
          <w:bCs/>
          <w:szCs w:val="16"/>
        </w:rPr>
        <w:t>Anomalies in Your State's FFY 2023 Outcomes Data</w:t>
      </w:r>
    </w:p>
    <w:p w14:paraId="6203EEBD" w14:textId="0A7A15D1" w:rsidR="002F672B" w:rsidRPr="00A67CEE" w:rsidRDefault="002F672B" w:rsidP="002F672B">
      <w:pPr>
        <w:rPr>
          <w:rFonts w:cs="Arial"/>
          <w:bCs/>
          <w:szCs w:val="16"/>
        </w:rPr>
      </w:pPr>
      <w:r w:rsidRPr="00A67CEE">
        <w:rPr>
          <w:rFonts w:cs="Arial"/>
          <w:bCs/>
          <w:szCs w:val="16"/>
        </w:rPr>
        <w:t>This score represents a summary of the data anomalies in the FFY 2023 Indicator 3 Outcomes Data reported by your State. Publicly available data for the preceding four years reported by and across all States for each of 15 progress categories under Indicator 3 (in the FFY 2019 – FFY 2022 APRs) were used to determine an expected range of responses for each progress category under Outcomes A, B, and C. For each of the 15 progress categories, a mean was calculated using the publicly available data and a lower and upper scoring percentage was set 1 standard deviation above and below the mean for category a, and 2 standard deviations above and below the mean for categories b through e (numbers are shown as rounded for display purposes, and values are based on data for States with summary statement denominator greater than 199 exiters). In any case where the low scoring percentage set from 1 or 2 standard deviations below the mean resulted in a negative number, the low scoring percentage is equal to 0.</w:t>
      </w:r>
    </w:p>
    <w:p w14:paraId="4BEAA1D3" w14:textId="08A3B70A" w:rsidR="002F672B" w:rsidRDefault="002F672B" w:rsidP="002F672B">
      <w:pPr>
        <w:rPr>
          <w:rFonts w:cs="Arial"/>
          <w:bCs/>
          <w:szCs w:val="16"/>
        </w:rPr>
      </w:pPr>
      <w:r w:rsidRPr="00A67CEE">
        <w:rPr>
          <w:rFonts w:cs="Arial"/>
          <w:bCs/>
          <w:szCs w:val="16"/>
        </w:rPr>
        <w:t>If your State's FFY 2023 data reported in a progress category fell below the calculated "low percentage" or above the "high percentage" for that progress category for all States, the data in that particular category are statistically improbable outliers and considered an anomaly for that progress category. If your State’s data in a particular progress category was identified as an anomaly, the State received a 0 for that category. A percentage that is equal to or between the low percentage and high percentage for each progress category received 1 point. A State could receive a total number of points between 0 and 15. Thus, a point total of 0 indicates that all 15 progress categories contained data anomalies and a point total of 15 indicates that there were no data anomalies in all 15 progress categories in the State's data. An overall data anomaly score of 0, 1, or 2 is based on the total points awarded.</w:t>
      </w:r>
    </w:p>
    <w:p w14:paraId="00964931" w14:textId="77777777" w:rsidR="00B05769" w:rsidRPr="002F672B" w:rsidRDefault="00B05769" w:rsidP="002F672B">
      <w:pPr>
        <w:rPr>
          <w:rFonts w:cs="Arial"/>
          <w:b/>
          <w:szCs w:val="16"/>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CAPPBOTC"/>
        <w:tblDescription w:val="Outcomes"/>
      </w:tblPr>
      <w:tblGrid>
        <w:gridCol w:w="1728"/>
        <w:gridCol w:w="3600"/>
      </w:tblGrid>
      <w:tr w:rsidR="002F672B" w:rsidRPr="002F672B" w14:paraId="72879646" w14:textId="77777777" w:rsidTr="00FB10DF">
        <w:trPr>
          <w:cantSplit/>
        </w:trPr>
        <w:tc>
          <w:tcPr>
            <w:tcW w:w="1728" w:type="dxa"/>
            <w:hideMark/>
          </w:tcPr>
          <w:p w14:paraId="034EFB57" w14:textId="77777777" w:rsidR="002F672B" w:rsidRPr="002F672B" w:rsidRDefault="002F672B" w:rsidP="002F672B">
            <w:pPr>
              <w:rPr>
                <w:rFonts w:cs="Arial"/>
                <w:b/>
                <w:szCs w:val="16"/>
              </w:rPr>
            </w:pPr>
            <w:r w:rsidRPr="002F672B">
              <w:rPr>
                <w:rFonts w:cs="Arial"/>
                <w:b/>
                <w:szCs w:val="16"/>
              </w:rPr>
              <w:t>Outcome A</w:t>
            </w:r>
          </w:p>
        </w:tc>
        <w:tc>
          <w:tcPr>
            <w:tcW w:w="3600" w:type="dxa"/>
            <w:hideMark/>
          </w:tcPr>
          <w:p w14:paraId="080CEA5D" w14:textId="77777777" w:rsidR="002F672B" w:rsidRPr="002F672B" w:rsidRDefault="002F672B" w:rsidP="002F672B">
            <w:pPr>
              <w:rPr>
                <w:rFonts w:cs="Arial"/>
                <w:b/>
                <w:szCs w:val="16"/>
              </w:rPr>
            </w:pPr>
            <w:r w:rsidRPr="002F672B">
              <w:rPr>
                <w:rFonts w:cs="Arial"/>
                <w:b/>
                <w:szCs w:val="16"/>
              </w:rPr>
              <w:t>Positive Social Relationships</w:t>
            </w:r>
          </w:p>
        </w:tc>
      </w:tr>
      <w:tr w:rsidR="002F672B" w:rsidRPr="002F672B" w14:paraId="0334207A" w14:textId="77777777" w:rsidTr="00FB10DF">
        <w:trPr>
          <w:cantSplit/>
        </w:trPr>
        <w:tc>
          <w:tcPr>
            <w:tcW w:w="1728" w:type="dxa"/>
            <w:hideMark/>
          </w:tcPr>
          <w:p w14:paraId="569CFDDF" w14:textId="77777777" w:rsidR="002F672B" w:rsidRPr="002F672B" w:rsidRDefault="002F672B" w:rsidP="002F672B">
            <w:pPr>
              <w:rPr>
                <w:rFonts w:cs="Arial"/>
                <w:b/>
                <w:szCs w:val="16"/>
              </w:rPr>
            </w:pPr>
            <w:r w:rsidRPr="002F672B">
              <w:rPr>
                <w:rFonts w:cs="Arial"/>
                <w:b/>
                <w:szCs w:val="16"/>
              </w:rPr>
              <w:t>Outcome B</w:t>
            </w:r>
          </w:p>
        </w:tc>
        <w:tc>
          <w:tcPr>
            <w:tcW w:w="3600" w:type="dxa"/>
            <w:hideMark/>
          </w:tcPr>
          <w:p w14:paraId="5FC427B4" w14:textId="77777777" w:rsidR="002F672B" w:rsidRPr="002F672B" w:rsidRDefault="002F672B" w:rsidP="002F672B">
            <w:pPr>
              <w:rPr>
                <w:rFonts w:cs="Arial"/>
                <w:b/>
                <w:szCs w:val="16"/>
              </w:rPr>
            </w:pPr>
            <w:r w:rsidRPr="002F672B">
              <w:rPr>
                <w:rFonts w:cs="Arial"/>
                <w:b/>
                <w:szCs w:val="16"/>
              </w:rPr>
              <w:t>Knowledge and Skills</w:t>
            </w:r>
          </w:p>
        </w:tc>
      </w:tr>
      <w:tr w:rsidR="002F672B" w:rsidRPr="002F672B" w14:paraId="36AB8E6A" w14:textId="77777777" w:rsidTr="00FB10DF">
        <w:trPr>
          <w:cantSplit/>
        </w:trPr>
        <w:tc>
          <w:tcPr>
            <w:tcW w:w="1728" w:type="dxa"/>
            <w:hideMark/>
          </w:tcPr>
          <w:p w14:paraId="01CE9402" w14:textId="77777777" w:rsidR="002F672B" w:rsidRPr="002F672B" w:rsidRDefault="002F672B" w:rsidP="002F672B">
            <w:pPr>
              <w:rPr>
                <w:rFonts w:cs="Arial"/>
                <w:b/>
                <w:szCs w:val="16"/>
              </w:rPr>
            </w:pPr>
            <w:r w:rsidRPr="002F672B">
              <w:rPr>
                <w:rFonts w:cs="Arial"/>
                <w:b/>
                <w:szCs w:val="16"/>
              </w:rPr>
              <w:t>Outcome C</w:t>
            </w:r>
          </w:p>
        </w:tc>
        <w:tc>
          <w:tcPr>
            <w:tcW w:w="3600" w:type="dxa"/>
            <w:hideMark/>
          </w:tcPr>
          <w:p w14:paraId="6D10C03B" w14:textId="77777777" w:rsidR="002F672B" w:rsidRPr="002F672B" w:rsidRDefault="002F672B" w:rsidP="002F672B">
            <w:pPr>
              <w:rPr>
                <w:rFonts w:cs="Arial"/>
                <w:b/>
                <w:szCs w:val="16"/>
              </w:rPr>
            </w:pPr>
            <w:r w:rsidRPr="002F672B">
              <w:rPr>
                <w:rFonts w:cs="Arial"/>
                <w:b/>
                <w:szCs w:val="16"/>
              </w:rPr>
              <w:t>Actions to Meet Needs</w:t>
            </w:r>
          </w:p>
        </w:tc>
      </w:tr>
    </w:tbl>
    <w:p w14:paraId="6E835BEF" w14:textId="77777777" w:rsidR="002F672B" w:rsidRPr="002F672B" w:rsidRDefault="002F672B" w:rsidP="002F672B">
      <w:pPr>
        <w:rPr>
          <w:rFonts w:cs="Arial"/>
          <w:b/>
          <w:szCs w:val="16"/>
        </w:rPr>
      </w:pPr>
    </w:p>
    <w:tbl>
      <w:tblPr>
        <w:tblStyle w:val="TableGrid"/>
        <w:tblW w:w="10800" w:type="dxa"/>
        <w:tblCellMar>
          <w:top w:w="29" w:type="dxa"/>
          <w:left w:w="115" w:type="dxa"/>
          <w:bottom w:w="29" w:type="dxa"/>
          <w:right w:w="115" w:type="dxa"/>
        </w:tblCellMar>
        <w:tblLook w:val="04A0" w:firstRow="1" w:lastRow="0" w:firstColumn="1" w:lastColumn="0" w:noHBand="0" w:noVBand="1"/>
        <w:tblCaption w:val="CAPPBOTCCATS"/>
        <w:tblDescription w:val="Categories"/>
      </w:tblPr>
      <w:tblGrid>
        <w:gridCol w:w="1728"/>
        <w:gridCol w:w="9072"/>
      </w:tblGrid>
      <w:tr w:rsidR="002F672B" w:rsidRPr="002F672B" w14:paraId="489C3909" w14:textId="77777777">
        <w:trPr>
          <w:cantSplit/>
        </w:trPr>
        <w:tc>
          <w:tcPr>
            <w:tcW w:w="1728" w:type="dxa"/>
            <w:hideMark/>
          </w:tcPr>
          <w:p w14:paraId="406AE173" w14:textId="77777777" w:rsidR="002F672B" w:rsidRPr="002F672B" w:rsidRDefault="002F672B" w:rsidP="002F672B">
            <w:pPr>
              <w:rPr>
                <w:rFonts w:cs="Arial"/>
                <w:b/>
                <w:szCs w:val="16"/>
              </w:rPr>
            </w:pPr>
            <w:r w:rsidRPr="002F672B">
              <w:rPr>
                <w:rFonts w:cs="Arial"/>
                <w:b/>
                <w:szCs w:val="16"/>
              </w:rPr>
              <w:t>Category a</w:t>
            </w:r>
          </w:p>
        </w:tc>
        <w:tc>
          <w:tcPr>
            <w:tcW w:w="9072" w:type="dxa"/>
            <w:hideMark/>
          </w:tcPr>
          <w:p w14:paraId="5F57DBE8" w14:textId="77777777" w:rsidR="002F672B" w:rsidRPr="002F672B" w:rsidRDefault="002F672B" w:rsidP="002F672B">
            <w:pPr>
              <w:rPr>
                <w:rFonts w:cs="Arial"/>
                <w:b/>
                <w:szCs w:val="16"/>
              </w:rPr>
            </w:pPr>
            <w:r w:rsidRPr="002F672B">
              <w:rPr>
                <w:rFonts w:cs="Arial"/>
                <w:b/>
                <w:szCs w:val="16"/>
              </w:rPr>
              <w:t>Percent of infants and toddlers who did not improve functioning</w:t>
            </w:r>
          </w:p>
        </w:tc>
      </w:tr>
      <w:tr w:rsidR="002F672B" w:rsidRPr="002F672B" w14:paraId="756D2571" w14:textId="77777777">
        <w:trPr>
          <w:cantSplit/>
        </w:trPr>
        <w:tc>
          <w:tcPr>
            <w:tcW w:w="1728" w:type="dxa"/>
            <w:hideMark/>
          </w:tcPr>
          <w:p w14:paraId="2C44DB5F" w14:textId="77777777" w:rsidR="002F672B" w:rsidRPr="002F672B" w:rsidRDefault="002F672B" w:rsidP="002F672B">
            <w:pPr>
              <w:rPr>
                <w:rFonts w:cs="Arial"/>
                <w:b/>
                <w:szCs w:val="16"/>
              </w:rPr>
            </w:pPr>
            <w:r w:rsidRPr="002F672B">
              <w:rPr>
                <w:rFonts w:cs="Arial"/>
                <w:b/>
                <w:szCs w:val="16"/>
              </w:rPr>
              <w:t>Category b</w:t>
            </w:r>
          </w:p>
        </w:tc>
        <w:tc>
          <w:tcPr>
            <w:tcW w:w="9072" w:type="dxa"/>
            <w:hideMark/>
          </w:tcPr>
          <w:p w14:paraId="68A0A1D4" w14:textId="77777777" w:rsidR="002F672B" w:rsidRPr="002F672B" w:rsidRDefault="002F672B" w:rsidP="002F672B">
            <w:pPr>
              <w:rPr>
                <w:rFonts w:cs="Arial"/>
                <w:b/>
                <w:szCs w:val="16"/>
              </w:rPr>
            </w:pPr>
            <w:r w:rsidRPr="002F672B">
              <w:rPr>
                <w:rFonts w:cs="Arial"/>
                <w:b/>
                <w:szCs w:val="16"/>
              </w:rPr>
              <w:t>Percent of infants and toddlers who improved functioning but not sufficient to move nearer to functioning comparable to same-aged peers</w:t>
            </w:r>
          </w:p>
        </w:tc>
      </w:tr>
      <w:tr w:rsidR="002F672B" w:rsidRPr="002F672B" w14:paraId="3EC0B8A6" w14:textId="77777777">
        <w:trPr>
          <w:cantSplit/>
        </w:trPr>
        <w:tc>
          <w:tcPr>
            <w:tcW w:w="1728" w:type="dxa"/>
            <w:hideMark/>
          </w:tcPr>
          <w:p w14:paraId="774261AC" w14:textId="77777777" w:rsidR="002F672B" w:rsidRPr="002F672B" w:rsidRDefault="002F672B" w:rsidP="002F672B">
            <w:pPr>
              <w:rPr>
                <w:rFonts w:cs="Arial"/>
                <w:b/>
                <w:szCs w:val="16"/>
              </w:rPr>
            </w:pPr>
            <w:r w:rsidRPr="002F672B">
              <w:rPr>
                <w:rFonts w:cs="Arial"/>
                <w:b/>
                <w:szCs w:val="16"/>
              </w:rPr>
              <w:t>Category c</w:t>
            </w:r>
          </w:p>
        </w:tc>
        <w:tc>
          <w:tcPr>
            <w:tcW w:w="9072" w:type="dxa"/>
            <w:hideMark/>
          </w:tcPr>
          <w:p w14:paraId="48AA0CFA" w14:textId="77777777" w:rsidR="002F672B" w:rsidRPr="002F672B" w:rsidRDefault="002F672B" w:rsidP="002F672B">
            <w:pPr>
              <w:rPr>
                <w:rFonts w:cs="Arial"/>
                <w:b/>
                <w:szCs w:val="16"/>
              </w:rPr>
            </w:pPr>
            <w:r w:rsidRPr="002F672B">
              <w:rPr>
                <w:rFonts w:cs="Arial"/>
                <w:b/>
                <w:szCs w:val="16"/>
              </w:rPr>
              <w:t>Percent of infants and toddlers who improved functioning to a level nearer to same-aged peers but did not reach it</w:t>
            </w:r>
          </w:p>
        </w:tc>
      </w:tr>
      <w:tr w:rsidR="002F672B" w:rsidRPr="002F672B" w14:paraId="61D1C358" w14:textId="77777777">
        <w:trPr>
          <w:cantSplit/>
        </w:trPr>
        <w:tc>
          <w:tcPr>
            <w:tcW w:w="1728" w:type="dxa"/>
            <w:hideMark/>
          </w:tcPr>
          <w:p w14:paraId="02788C61" w14:textId="77777777" w:rsidR="002F672B" w:rsidRPr="002F672B" w:rsidRDefault="002F672B" w:rsidP="002F672B">
            <w:pPr>
              <w:rPr>
                <w:rFonts w:cs="Arial"/>
                <w:b/>
                <w:szCs w:val="16"/>
              </w:rPr>
            </w:pPr>
            <w:r w:rsidRPr="002F672B">
              <w:rPr>
                <w:rFonts w:cs="Arial"/>
                <w:b/>
                <w:szCs w:val="16"/>
              </w:rPr>
              <w:t>Category d</w:t>
            </w:r>
          </w:p>
        </w:tc>
        <w:tc>
          <w:tcPr>
            <w:tcW w:w="9072" w:type="dxa"/>
            <w:hideMark/>
          </w:tcPr>
          <w:p w14:paraId="65AE1112" w14:textId="77777777" w:rsidR="002F672B" w:rsidRPr="002F672B" w:rsidRDefault="002F672B" w:rsidP="002F672B">
            <w:pPr>
              <w:rPr>
                <w:rFonts w:cs="Arial"/>
                <w:b/>
                <w:szCs w:val="16"/>
              </w:rPr>
            </w:pPr>
            <w:r w:rsidRPr="002F672B">
              <w:rPr>
                <w:rFonts w:cs="Arial"/>
                <w:b/>
                <w:szCs w:val="16"/>
              </w:rPr>
              <w:t>Percent of infants and toddlers who improved functioning to reach a level comparable to same-aged peers</w:t>
            </w:r>
          </w:p>
        </w:tc>
      </w:tr>
      <w:tr w:rsidR="002F672B" w:rsidRPr="002F672B" w14:paraId="642349E5" w14:textId="77777777">
        <w:trPr>
          <w:cantSplit/>
        </w:trPr>
        <w:tc>
          <w:tcPr>
            <w:tcW w:w="1728" w:type="dxa"/>
            <w:hideMark/>
          </w:tcPr>
          <w:p w14:paraId="473FF5B6" w14:textId="77777777" w:rsidR="002F672B" w:rsidRPr="002F672B" w:rsidRDefault="002F672B" w:rsidP="002F672B">
            <w:pPr>
              <w:rPr>
                <w:rFonts w:cs="Arial"/>
                <w:b/>
                <w:szCs w:val="16"/>
              </w:rPr>
            </w:pPr>
            <w:r w:rsidRPr="002F672B">
              <w:rPr>
                <w:rFonts w:cs="Arial"/>
                <w:b/>
                <w:szCs w:val="16"/>
              </w:rPr>
              <w:t>Category e</w:t>
            </w:r>
          </w:p>
        </w:tc>
        <w:tc>
          <w:tcPr>
            <w:tcW w:w="9072" w:type="dxa"/>
            <w:hideMark/>
          </w:tcPr>
          <w:p w14:paraId="7BC232C9" w14:textId="77777777" w:rsidR="002F672B" w:rsidRPr="002F672B" w:rsidRDefault="002F672B" w:rsidP="002F672B">
            <w:pPr>
              <w:rPr>
                <w:rFonts w:cs="Arial"/>
                <w:b/>
                <w:szCs w:val="16"/>
              </w:rPr>
            </w:pPr>
            <w:r w:rsidRPr="002F672B">
              <w:rPr>
                <w:rFonts w:cs="Arial"/>
                <w:b/>
                <w:szCs w:val="16"/>
              </w:rPr>
              <w:t>Percent of infants and toddlers who maintained functioning at a level comparable to same-aged peers</w:t>
            </w:r>
          </w:p>
        </w:tc>
      </w:tr>
    </w:tbl>
    <w:p w14:paraId="2B683B32" w14:textId="494CFD40" w:rsidR="00AA07A0" w:rsidRDefault="00AA07A0" w:rsidP="002F672B">
      <w:pPr>
        <w:rPr>
          <w:rFonts w:cs="Arial"/>
          <w:b/>
          <w:bCs/>
          <w:szCs w:val="16"/>
        </w:rPr>
      </w:pPr>
    </w:p>
    <w:p w14:paraId="299C4DBA" w14:textId="77777777" w:rsidR="00AA07A0" w:rsidRDefault="00AA07A0">
      <w:pPr>
        <w:spacing w:before="0" w:after="200" w:line="276" w:lineRule="auto"/>
        <w:rPr>
          <w:rFonts w:cs="Arial"/>
          <w:b/>
          <w:bCs/>
          <w:szCs w:val="16"/>
        </w:rPr>
      </w:pPr>
      <w:r>
        <w:rPr>
          <w:rFonts w:cs="Arial"/>
          <w:b/>
          <w:bCs/>
          <w:szCs w:val="16"/>
        </w:rPr>
        <w:br w:type="page"/>
      </w:r>
    </w:p>
    <w:p w14:paraId="1B0FD437" w14:textId="77777777" w:rsidR="00B05769" w:rsidRDefault="00B05769" w:rsidP="002F672B">
      <w:pPr>
        <w:rPr>
          <w:rFonts w:cs="Arial"/>
          <w:b/>
          <w:bCs/>
          <w:szCs w:val="16"/>
        </w:rPr>
      </w:pPr>
    </w:p>
    <w:p w14:paraId="38D6C037" w14:textId="0BB1B262" w:rsidR="002F672B" w:rsidRPr="002F672B" w:rsidRDefault="002F672B" w:rsidP="002F672B">
      <w:pPr>
        <w:rPr>
          <w:rFonts w:cs="Arial"/>
          <w:b/>
          <w:bCs/>
          <w:szCs w:val="16"/>
        </w:rPr>
      </w:pPr>
      <w:r w:rsidRPr="002F672B">
        <w:rPr>
          <w:rFonts w:cs="Arial"/>
          <w:b/>
          <w:bCs/>
          <w:szCs w:val="16"/>
        </w:rPr>
        <w:t>Expected Range of Responses for Each Outcome and Category, FFY 2023</w:t>
      </w:r>
    </w:p>
    <w:tbl>
      <w:tblPr>
        <w:tblStyle w:val="TableGrid1"/>
        <w:tblW w:w="5008" w:type="pct"/>
        <w:tblLook w:val="04A0" w:firstRow="1" w:lastRow="0" w:firstColumn="1" w:lastColumn="0" w:noHBand="0" w:noVBand="1"/>
        <w:tblCaption w:val="CAPPBOTCCATRNG"/>
        <w:tblDescription w:val="Outcome\Category"/>
      </w:tblPr>
      <w:tblGrid>
        <w:gridCol w:w="2883"/>
        <w:gridCol w:w="1976"/>
        <w:gridCol w:w="1991"/>
        <w:gridCol w:w="1986"/>
        <w:gridCol w:w="1971"/>
      </w:tblGrid>
      <w:tr w:rsidR="002F672B" w:rsidRPr="002F672B" w14:paraId="557DBA42" w14:textId="77777777" w:rsidTr="002F672B">
        <w:tc>
          <w:tcPr>
            <w:tcW w:w="1334" w:type="pct"/>
            <w:noWrap/>
            <w:hideMark/>
          </w:tcPr>
          <w:p w14:paraId="2198D8A5" w14:textId="28696AC2" w:rsidR="002F672B" w:rsidRPr="002F672B" w:rsidRDefault="002F672B" w:rsidP="002F672B">
            <w:pPr>
              <w:rPr>
                <w:rFonts w:cs="Arial"/>
                <w:b/>
                <w:szCs w:val="16"/>
              </w:rPr>
            </w:pPr>
            <w:r w:rsidRPr="002F672B">
              <w:rPr>
                <w:rFonts w:cs="Arial"/>
                <w:b/>
                <w:bCs/>
                <w:szCs w:val="16"/>
              </w:rPr>
              <w:t>Outcome\</w:t>
            </w:r>
            <w:r w:rsidR="00785280">
              <w:rPr>
                <w:rFonts w:cs="Arial"/>
                <w:b/>
                <w:bCs/>
                <w:szCs w:val="16"/>
              </w:rPr>
              <w:t xml:space="preserve"> </w:t>
            </w:r>
            <w:r w:rsidRPr="002F672B">
              <w:rPr>
                <w:rFonts w:cs="Arial"/>
                <w:b/>
                <w:bCs/>
                <w:szCs w:val="16"/>
              </w:rPr>
              <w:t>Category</w:t>
            </w:r>
          </w:p>
        </w:tc>
        <w:tc>
          <w:tcPr>
            <w:tcW w:w="914" w:type="pct"/>
            <w:noWrap/>
            <w:hideMark/>
          </w:tcPr>
          <w:p w14:paraId="7FBC0389" w14:textId="77777777" w:rsidR="002F672B" w:rsidRPr="002F672B" w:rsidRDefault="002F672B" w:rsidP="00E415ED">
            <w:pPr>
              <w:jc w:val="center"/>
              <w:rPr>
                <w:rFonts w:cs="Arial"/>
                <w:b/>
                <w:bCs/>
                <w:szCs w:val="16"/>
              </w:rPr>
            </w:pPr>
            <w:r w:rsidRPr="002F672B">
              <w:rPr>
                <w:rFonts w:cs="Arial"/>
                <w:b/>
                <w:bCs/>
                <w:szCs w:val="16"/>
              </w:rPr>
              <w:t>Mean</w:t>
            </w:r>
          </w:p>
        </w:tc>
        <w:tc>
          <w:tcPr>
            <w:tcW w:w="921" w:type="pct"/>
            <w:noWrap/>
            <w:hideMark/>
          </w:tcPr>
          <w:p w14:paraId="6AE0978D" w14:textId="77777777" w:rsidR="002F672B" w:rsidRPr="002F672B" w:rsidRDefault="002F672B" w:rsidP="00E415ED">
            <w:pPr>
              <w:jc w:val="center"/>
              <w:rPr>
                <w:rFonts w:cs="Arial"/>
                <w:b/>
                <w:bCs/>
                <w:szCs w:val="16"/>
              </w:rPr>
            </w:pPr>
            <w:r w:rsidRPr="002F672B">
              <w:rPr>
                <w:rFonts w:cs="Arial"/>
                <w:b/>
                <w:bCs/>
                <w:szCs w:val="16"/>
              </w:rPr>
              <w:t>StDev</w:t>
            </w:r>
          </w:p>
        </w:tc>
        <w:tc>
          <w:tcPr>
            <w:tcW w:w="919" w:type="pct"/>
            <w:noWrap/>
            <w:hideMark/>
          </w:tcPr>
          <w:p w14:paraId="4522F4EF" w14:textId="77777777" w:rsidR="002F672B" w:rsidRPr="002F672B" w:rsidRDefault="002F672B" w:rsidP="00E415ED">
            <w:pPr>
              <w:jc w:val="center"/>
              <w:rPr>
                <w:rFonts w:cs="Arial"/>
                <w:b/>
                <w:bCs/>
                <w:szCs w:val="16"/>
              </w:rPr>
            </w:pPr>
            <w:r w:rsidRPr="002F672B">
              <w:rPr>
                <w:rFonts w:cs="Arial"/>
                <w:b/>
                <w:bCs/>
                <w:szCs w:val="16"/>
              </w:rPr>
              <w:t>-1SD</w:t>
            </w:r>
          </w:p>
        </w:tc>
        <w:tc>
          <w:tcPr>
            <w:tcW w:w="912" w:type="pct"/>
            <w:noWrap/>
            <w:hideMark/>
          </w:tcPr>
          <w:p w14:paraId="691B4046" w14:textId="77777777" w:rsidR="002F672B" w:rsidRPr="002F672B" w:rsidRDefault="002F672B" w:rsidP="00E415ED">
            <w:pPr>
              <w:jc w:val="center"/>
              <w:rPr>
                <w:rFonts w:cs="Arial"/>
                <w:b/>
                <w:bCs/>
                <w:szCs w:val="16"/>
              </w:rPr>
            </w:pPr>
            <w:r w:rsidRPr="002F672B">
              <w:rPr>
                <w:rFonts w:cs="Arial"/>
                <w:b/>
                <w:bCs/>
                <w:szCs w:val="16"/>
              </w:rPr>
              <w:t>+1SD</w:t>
            </w:r>
          </w:p>
        </w:tc>
      </w:tr>
      <w:tr w:rsidR="00131DBD" w:rsidRPr="002F672B" w14:paraId="29B2661E" w14:textId="77777777" w:rsidTr="00E415ED">
        <w:tc>
          <w:tcPr>
            <w:tcW w:w="1334" w:type="pct"/>
            <w:noWrap/>
            <w:hideMark/>
          </w:tcPr>
          <w:p w14:paraId="535F6758" w14:textId="131118A1" w:rsidR="00131DBD" w:rsidRPr="002F672B" w:rsidRDefault="00131DBD" w:rsidP="00131DBD">
            <w:pPr>
              <w:rPr>
                <w:rFonts w:cs="Arial"/>
                <w:b/>
                <w:bCs/>
                <w:szCs w:val="16"/>
              </w:rPr>
            </w:pPr>
            <w:r w:rsidRPr="002F672B">
              <w:rPr>
                <w:rFonts w:cs="Arial"/>
                <w:b/>
                <w:bCs/>
                <w:szCs w:val="16"/>
              </w:rPr>
              <w:t>Outcome A\</w:t>
            </w:r>
            <w:r w:rsidR="00785280">
              <w:rPr>
                <w:rFonts w:cs="Arial"/>
                <w:b/>
                <w:bCs/>
                <w:szCs w:val="16"/>
              </w:rPr>
              <w:t xml:space="preserve"> </w:t>
            </w:r>
            <w:r w:rsidRPr="002F672B">
              <w:rPr>
                <w:rFonts w:cs="Arial"/>
                <w:b/>
                <w:bCs/>
                <w:szCs w:val="16"/>
              </w:rPr>
              <w:t>Category a</w:t>
            </w:r>
          </w:p>
        </w:tc>
        <w:tc>
          <w:tcPr>
            <w:tcW w:w="914" w:type="pct"/>
            <w:noWrap/>
            <w:vAlign w:val="bottom"/>
          </w:tcPr>
          <w:p w14:paraId="0E0C6DFE" w14:textId="3B151279" w:rsidR="00131DBD" w:rsidRPr="00AB65CA" w:rsidRDefault="00131DBD" w:rsidP="00131DBD">
            <w:pPr>
              <w:jc w:val="center"/>
              <w:rPr>
                <w:rFonts w:cs="Arial"/>
                <w:b/>
                <w:szCs w:val="16"/>
              </w:rPr>
            </w:pPr>
            <w:r>
              <w:rPr>
                <w:rFonts w:cs="Arial"/>
                <w:color w:val="000000"/>
                <w:szCs w:val="16"/>
              </w:rPr>
              <w:t>1.52</w:t>
            </w:r>
          </w:p>
        </w:tc>
        <w:tc>
          <w:tcPr>
            <w:tcW w:w="921" w:type="pct"/>
            <w:noWrap/>
            <w:vAlign w:val="bottom"/>
          </w:tcPr>
          <w:p w14:paraId="0DE466A5" w14:textId="327280A1" w:rsidR="00131DBD" w:rsidRPr="00AB65CA" w:rsidRDefault="00131DBD" w:rsidP="00131DBD">
            <w:pPr>
              <w:jc w:val="center"/>
              <w:rPr>
                <w:rFonts w:cs="Arial"/>
                <w:b/>
                <w:szCs w:val="16"/>
              </w:rPr>
            </w:pPr>
            <w:r>
              <w:rPr>
                <w:rFonts w:cs="Arial"/>
                <w:color w:val="000000"/>
                <w:szCs w:val="16"/>
              </w:rPr>
              <w:t>3.25</w:t>
            </w:r>
          </w:p>
        </w:tc>
        <w:tc>
          <w:tcPr>
            <w:tcW w:w="919" w:type="pct"/>
            <w:noWrap/>
            <w:vAlign w:val="bottom"/>
          </w:tcPr>
          <w:p w14:paraId="0E42725B" w14:textId="6DBD5DB4" w:rsidR="00131DBD" w:rsidRPr="00AB65CA" w:rsidRDefault="00131DBD" w:rsidP="00131DBD">
            <w:pPr>
              <w:jc w:val="center"/>
              <w:rPr>
                <w:rFonts w:cs="Arial"/>
                <w:b/>
                <w:szCs w:val="16"/>
              </w:rPr>
            </w:pPr>
            <w:r>
              <w:rPr>
                <w:rFonts w:cs="Arial"/>
                <w:color w:val="000000"/>
                <w:szCs w:val="16"/>
              </w:rPr>
              <w:t>-1.74</w:t>
            </w:r>
          </w:p>
        </w:tc>
        <w:tc>
          <w:tcPr>
            <w:tcW w:w="912" w:type="pct"/>
            <w:noWrap/>
            <w:vAlign w:val="bottom"/>
          </w:tcPr>
          <w:p w14:paraId="2629B931" w14:textId="14C0AB98" w:rsidR="00131DBD" w:rsidRPr="00AB65CA" w:rsidRDefault="00131DBD" w:rsidP="00131DBD">
            <w:pPr>
              <w:jc w:val="center"/>
              <w:rPr>
                <w:rFonts w:cs="Arial"/>
                <w:b/>
                <w:szCs w:val="16"/>
              </w:rPr>
            </w:pPr>
            <w:r>
              <w:rPr>
                <w:rFonts w:cs="Arial"/>
                <w:color w:val="000000"/>
                <w:szCs w:val="16"/>
              </w:rPr>
              <w:t>4.77</w:t>
            </w:r>
          </w:p>
        </w:tc>
      </w:tr>
      <w:tr w:rsidR="00131DBD" w:rsidRPr="002F672B" w14:paraId="57470D2E" w14:textId="77777777" w:rsidTr="00E415ED">
        <w:tc>
          <w:tcPr>
            <w:tcW w:w="1334" w:type="pct"/>
            <w:noWrap/>
            <w:hideMark/>
          </w:tcPr>
          <w:p w14:paraId="3C045428" w14:textId="1D284CBC" w:rsidR="00131DBD" w:rsidRPr="002F672B" w:rsidRDefault="00131DBD" w:rsidP="00131DBD">
            <w:pPr>
              <w:rPr>
                <w:rFonts w:cs="Arial"/>
                <w:b/>
                <w:bCs/>
                <w:szCs w:val="16"/>
              </w:rPr>
            </w:pPr>
            <w:r w:rsidRPr="002F672B">
              <w:rPr>
                <w:rFonts w:cs="Arial"/>
                <w:b/>
                <w:bCs/>
                <w:szCs w:val="16"/>
              </w:rPr>
              <w:t>Outcome B\</w:t>
            </w:r>
            <w:r w:rsidR="00785280">
              <w:rPr>
                <w:rFonts w:cs="Arial"/>
                <w:b/>
                <w:bCs/>
                <w:szCs w:val="16"/>
              </w:rPr>
              <w:t xml:space="preserve"> </w:t>
            </w:r>
            <w:r w:rsidRPr="002F672B">
              <w:rPr>
                <w:rFonts w:cs="Arial"/>
                <w:b/>
                <w:bCs/>
                <w:szCs w:val="16"/>
              </w:rPr>
              <w:t>Category a</w:t>
            </w:r>
          </w:p>
        </w:tc>
        <w:tc>
          <w:tcPr>
            <w:tcW w:w="914" w:type="pct"/>
            <w:noWrap/>
            <w:vAlign w:val="bottom"/>
          </w:tcPr>
          <w:p w14:paraId="0D1D5269" w14:textId="3E839A98" w:rsidR="00131DBD" w:rsidRPr="00AB65CA" w:rsidRDefault="00131DBD" w:rsidP="00131DBD">
            <w:pPr>
              <w:jc w:val="center"/>
              <w:rPr>
                <w:rFonts w:cs="Arial"/>
                <w:b/>
                <w:szCs w:val="16"/>
              </w:rPr>
            </w:pPr>
            <w:r>
              <w:rPr>
                <w:rFonts w:cs="Arial"/>
                <w:color w:val="000000"/>
                <w:szCs w:val="16"/>
              </w:rPr>
              <w:t>1.34</w:t>
            </w:r>
          </w:p>
        </w:tc>
        <w:tc>
          <w:tcPr>
            <w:tcW w:w="921" w:type="pct"/>
            <w:noWrap/>
            <w:vAlign w:val="bottom"/>
          </w:tcPr>
          <w:p w14:paraId="38EF2B62" w14:textId="59CE91C8" w:rsidR="00131DBD" w:rsidRPr="00AB65CA" w:rsidRDefault="00131DBD" w:rsidP="00131DBD">
            <w:pPr>
              <w:jc w:val="center"/>
              <w:rPr>
                <w:rFonts w:cs="Arial"/>
                <w:b/>
                <w:szCs w:val="16"/>
              </w:rPr>
            </w:pPr>
            <w:r>
              <w:rPr>
                <w:rFonts w:cs="Arial"/>
                <w:color w:val="000000"/>
                <w:szCs w:val="16"/>
              </w:rPr>
              <w:t>2.98</w:t>
            </w:r>
          </w:p>
        </w:tc>
        <w:tc>
          <w:tcPr>
            <w:tcW w:w="919" w:type="pct"/>
            <w:noWrap/>
            <w:vAlign w:val="bottom"/>
          </w:tcPr>
          <w:p w14:paraId="4A603301" w14:textId="64BB9A51" w:rsidR="00131DBD" w:rsidRPr="00AB65CA" w:rsidRDefault="00131DBD" w:rsidP="00131DBD">
            <w:pPr>
              <w:jc w:val="center"/>
              <w:rPr>
                <w:rFonts w:cs="Arial"/>
                <w:b/>
                <w:szCs w:val="16"/>
              </w:rPr>
            </w:pPr>
            <w:r>
              <w:rPr>
                <w:rFonts w:cs="Arial"/>
                <w:color w:val="000000"/>
                <w:szCs w:val="16"/>
              </w:rPr>
              <w:t>-1.64</w:t>
            </w:r>
          </w:p>
        </w:tc>
        <w:tc>
          <w:tcPr>
            <w:tcW w:w="912" w:type="pct"/>
            <w:noWrap/>
            <w:vAlign w:val="bottom"/>
          </w:tcPr>
          <w:p w14:paraId="6791967C" w14:textId="0C1C0E83" w:rsidR="00131DBD" w:rsidRPr="00AB65CA" w:rsidRDefault="00131DBD" w:rsidP="00131DBD">
            <w:pPr>
              <w:jc w:val="center"/>
              <w:rPr>
                <w:rFonts w:cs="Arial"/>
                <w:b/>
                <w:szCs w:val="16"/>
              </w:rPr>
            </w:pPr>
            <w:r>
              <w:rPr>
                <w:rFonts w:cs="Arial"/>
                <w:color w:val="000000"/>
                <w:szCs w:val="16"/>
              </w:rPr>
              <w:t>4.32</w:t>
            </w:r>
          </w:p>
        </w:tc>
      </w:tr>
      <w:tr w:rsidR="00131DBD" w:rsidRPr="002F672B" w14:paraId="00171CFD" w14:textId="77777777" w:rsidTr="00E415ED">
        <w:tc>
          <w:tcPr>
            <w:tcW w:w="1334" w:type="pct"/>
            <w:noWrap/>
            <w:hideMark/>
          </w:tcPr>
          <w:p w14:paraId="5BD17A65" w14:textId="6500E344" w:rsidR="00131DBD" w:rsidRPr="002F672B" w:rsidRDefault="00131DBD" w:rsidP="00131DBD">
            <w:pPr>
              <w:rPr>
                <w:rFonts w:cs="Arial"/>
                <w:b/>
                <w:bCs/>
                <w:szCs w:val="16"/>
              </w:rPr>
            </w:pPr>
            <w:r w:rsidRPr="002F672B">
              <w:rPr>
                <w:rFonts w:cs="Arial"/>
                <w:b/>
                <w:bCs/>
                <w:szCs w:val="16"/>
              </w:rPr>
              <w:t>Outcome C\</w:t>
            </w:r>
            <w:r w:rsidR="00785280">
              <w:rPr>
                <w:rFonts w:cs="Arial"/>
                <w:b/>
                <w:bCs/>
                <w:szCs w:val="16"/>
              </w:rPr>
              <w:t xml:space="preserve"> </w:t>
            </w:r>
            <w:r w:rsidRPr="002F672B">
              <w:rPr>
                <w:rFonts w:cs="Arial"/>
                <w:b/>
                <w:bCs/>
                <w:szCs w:val="16"/>
              </w:rPr>
              <w:t>Category a</w:t>
            </w:r>
          </w:p>
        </w:tc>
        <w:tc>
          <w:tcPr>
            <w:tcW w:w="914" w:type="pct"/>
            <w:noWrap/>
            <w:vAlign w:val="bottom"/>
          </w:tcPr>
          <w:p w14:paraId="0E5168FC" w14:textId="2B657F73" w:rsidR="00131DBD" w:rsidRPr="00AB65CA" w:rsidRDefault="00131DBD" w:rsidP="00131DBD">
            <w:pPr>
              <w:jc w:val="center"/>
              <w:rPr>
                <w:rFonts w:cs="Arial"/>
                <w:b/>
                <w:szCs w:val="16"/>
              </w:rPr>
            </w:pPr>
            <w:r>
              <w:rPr>
                <w:rFonts w:cs="Arial"/>
                <w:color w:val="000000"/>
                <w:szCs w:val="16"/>
              </w:rPr>
              <w:t>1.25</w:t>
            </w:r>
          </w:p>
        </w:tc>
        <w:tc>
          <w:tcPr>
            <w:tcW w:w="921" w:type="pct"/>
            <w:noWrap/>
            <w:vAlign w:val="bottom"/>
          </w:tcPr>
          <w:p w14:paraId="64353B6D" w14:textId="6FD719AB" w:rsidR="00131DBD" w:rsidRPr="00AB65CA" w:rsidRDefault="00131DBD" w:rsidP="00131DBD">
            <w:pPr>
              <w:jc w:val="center"/>
              <w:rPr>
                <w:rFonts w:cs="Arial"/>
                <w:b/>
                <w:szCs w:val="16"/>
              </w:rPr>
            </w:pPr>
            <w:r>
              <w:rPr>
                <w:rFonts w:cs="Arial"/>
                <w:color w:val="000000"/>
                <w:szCs w:val="16"/>
              </w:rPr>
              <w:t>2.62</w:t>
            </w:r>
          </w:p>
        </w:tc>
        <w:tc>
          <w:tcPr>
            <w:tcW w:w="919" w:type="pct"/>
            <w:noWrap/>
            <w:vAlign w:val="bottom"/>
          </w:tcPr>
          <w:p w14:paraId="6935A10F" w14:textId="2A00AC7C" w:rsidR="00131DBD" w:rsidRPr="00AB65CA" w:rsidRDefault="00131DBD" w:rsidP="00131DBD">
            <w:pPr>
              <w:jc w:val="center"/>
              <w:rPr>
                <w:rFonts w:cs="Arial"/>
                <w:b/>
                <w:szCs w:val="16"/>
              </w:rPr>
            </w:pPr>
            <w:r>
              <w:rPr>
                <w:rFonts w:cs="Arial"/>
                <w:color w:val="000000"/>
                <w:szCs w:val="16"/>
              </w:rPr>
              <w:t>-1.37</w:t>
            </w:r>
          </w:p>
        </w:tc>
        <w:tc>
          <w:tcPr>
            <w:tcW w:w="912" w:type="pct"/>
            <w:noWrap/>
            <w:vAlign w:val="bottom"/>
          </w:tcPr>
          <w:p w14:paraId="49709BD5" w14:textId="76E5D228" w:rsidR="00131DBD" w:rsidRPr="00AB65CA" w:rsidRDefault="00131DBD" w:rsidP="00131DBD">
            <w:pPr>
              <w:jc w:val="center"/>
              <w:rPr>
                <w:rFonts w:cs="Arial"/>
                <w:b/>
                <w:szCs w:val="16"/>
              </w:rPr>
            </w:pPr>
            <w:r>
              <w:rPr>
                <w:rFonts w:cs="Arial"/>
                <w:color w:val="000000"/>
                <w:szCs w:val="16"/>
              </w:rPr>
              <w:t>3.87</w:t>
            </w:r>
          </w:p>
        </w:tc>
      </w:tr>
    </w:tbl>
    <w:p w14:paraId="20396AF9" w14:textId="77777777" w:rsidR="00891EAC" w:rsidRDefault="00891EAC" w:rsidP="0081611B">
      <w:pPr>
        <w:rPr>
          <w:rFonts w:cs="Arial"/>
          <w:b/>
          <w:szCs w:val="16"/>
        </w:rPr>
      </w:pPr>
    </w:p>
    <w:tbl>
      <w:tblPr>
        <w:tblStyle w:val="TableGrid"/>
        <w:tblW w:w="5012" w:type="pct"/>
        <w:tblLook w:val="04A0" w:firstRow="1" w:lastRow="0" w:firstColumn="1" w:lastColumn="0" w:noHBand="0" w:noVBand="1"/>
        <w:tblCaption w:val="CAPPBOTCCATSD"/>
        <w:tblDescription w:val="Outcome\Category"/>
      </w:tblPr>
      <w:tblGrid>
        <w:gridCol w:w="2886"/>
        <w:gridCol w:w="1977"/>
        <w:gridCol w:w="1988"/>
        <w:gridCol w:w="1990"/>
        <w:gridCol w:w="1975"/>
      </w:tblGrid>
      <w:tr w:rsidR="00891EAC" w:rsidRPr="00F83501" w14:paraId="431F7150" w14:textId="77777777" w:rsidTr="00891EAC">
        <w:tc>
          <w:tcPr>
            <w:tcW w:w="1334" w:type="pct"/>
            <w:noWrap/>
            <w:hideMark/>
          </w:tcPr>
          <w:p w14:paraId="55C98841" w14:textId="67128ACA" w:rsidR="00891EAC" w:rsidRPr="00B05769" w:rsidRDefault="00891EAC">
            <w:pPr>
              <w:keepNext/>
              <w:rPr>
                <w:rFonts w:cs="Arial"/>
                <w:b/>
                <w:bCs/>
                <w:szCs w:val="16"/>
              </w:rPr>
            </w:pPr>
            <w:r w:rsidRPr="00B05769">
              <w:rPr>
                <w:rFonts w:cs="Arial"/>
                <w:b/>
                <w:bCs/>
                <w:szCs w:val="16"/>
              </w:rPr>
              <w:t>Outcome\</w:t>
            </w:r>
            <w:r w:rsidR="00785280">
              <w:rPr>
                <w:rFonts w:cs="Arial"/>
                <w:b/>
                <w:bCs/>
                <w:szCs w:val="16"/>
              </w:rPr>
              <w:t xml:space="preserve"> </w:t>
            </w:r>
            <w:r w:rsidRPr="00B05769">
              <w:rPr>
                <w:rFonts w:cs="Arial"/>
                <w:b/>
                <w:bCs/>
                <w:szCs w:val="16"/>
              </w:rPr>
              <w:t>Category</w:t>
            </w:r>
          </w:p>
        </w:tc>
        <w:tc>
          <w:tcPr>
            <w:tcW w:w="914" w:type="pct"/>
            <w:noWrap/>
            <w:hideMark/>
          </w:tcPr>
          <w:p w14:paraId="2F7D0F7D" w14:textId="77777777" w:rsidR="00891EAC" w:rsidRPr="00B05769" w:rsidRDefault="00891EAC">
            <w:pPr>
              <w:keepNext/>
              <w:jc w:val="center"/>
              <w:rPr>
                <w:rFonts w:cs="Arial"/>
                <w:b/>
                <w:bCs/>
                <w:szCs w:val="16"/>
              </w:rPr>
            </w:pPr>
            <w:r w:rsidRPr="00B05769">
              <w:rPr>
                <w:rFonts w:cs="Arial"/>
                <w:b/>
                <w:bCs/>
                <w:szCs w:val="16"/>
              </w:rPr>
              <w:t>Mean</w:t>
            </w:r>
          </w:p>
        </w:tc>
        <w:tc>
          <w:tcPr>
            <w:tcW w:w="919" w:type="pct"/>
            <w:noWrap/>
            <w:hideMark/>
          </w:tcPr>
          <w:p w14:paraId="6BC7FB22" w14:textId="77777777" w:rsidR="00891EAC" w:rsidRPr="00B05769" w:rsidRDefault="00891EAC">
            <w:pPr>
              <w:keepNext/>
              <w:jc w:val="center"/>
              <w:rPr>
                <w:rFonts w:cs="Arial"/>
                <w:b/>
                <w:bCs/>
                <w:szCs w:val="16"/>
              </w:rPr>
            </w:pPr>
            <w:r w:rsidRPr="00B05769">
              <w:rPr>
                <w:rFonts w:cs="Arial"/>
                <w:b/>
                <w:bCs/>
                <w:szCs w:val="16"/>
              </w:rPr>
              <w:t>StDev</w:t>
            </w:r>
          </w:p>
        </w:tc>
        <w:tc>
          <w:tcPr>
            <w:tcW w:w="920" w:type="pct"/>
            <w:noWrap/>
            <w:hideMark/>
          </w:tcPr>
          <w:p w14:paraId="71FA478D" w14:textId="77777777" w:rsidR="00891EAC" w:rsidRPr="00B05769" w:rsidRDefault="00891EAC">
            <w:pPr>
              <w:keepNext/>
              <w:jc w:val="center"/>
              <w:rPr>
                <w:rFonts w:cs="Arial"/>
                <w:b/>
                <w:bCs/>
                <w:szCs w:val="16"/>
              </w:rPr>
            </w:pPr>
            <w:r w:rsidRPr="00B05769">
              <w:rPr>
                <w:rFonts w:cs="Arial"/>
                <w:b/>
                <w:bCs/>
                <w:szCs w:val="16"/>
              </w:rPr>
              <w:t>-2SD</w:t>
            </w:r>
          </w:p>
        </w:tc>
        <w:tc>
          <w:tcPr>
            <w:tcW w:w="913" w:type="pct"/>
            <w:noWrap/>
            <w:hideMark/>
          </w:tcPr>
          <w:p w14:paraId="2997E456" w14:textId="77777777" w:rsidR="00891EAC" w:rsidRPr="00B05769" w:rsidRDefault="00891EAC">
            <w:pPr>
              <w:keepNext/>
              <w:jc w:val="center"/>
              <w:rPr>
                <w:rFonts w:cs="Arial"/>
                <w:b/>
                <w:bCs/>
                <w:szCs w:val="16"/>
              </w:rPr>
            </w:pPr>
            <w:r w:rsidRPr="00B05769">
              <w:rPr>
                <w:rFonts w:cs="Arial"/>
                <w:b/>
                <w:bCs/>
                <w:szCs w:val="16"/>
              </w:rPr>
              <w:t>+2SD</w:t>
            </w:r>
          </w:p>
        </w:tc>
      </w:tr>
      <w:tr w:rsidR="00131DBD" w:rsidRPr="00F83501" w14:paraId="215401CF" w14:textId="77777777" w:rsidTr="00E415ED">
        <w:tc>
          <w:tcPr>
            <w:tcW w:w="1334" w:type="pct"/>
            <w:noWrap/>
            <w:hideMark/>
          </w:tcPr>
          <w:p w14:paraId="284ADB23" w14:textId="77777777" w:rsidR="00131DBD" w:rsidRPr="00B05769" w:rsidRDefault="00131DBD" w:rsidP="00131DBD">
            <w:pPr>
              <w:keepNext/>
              <w:rPr>
                <w:rFonts w:cs="Arial"/>
                <w:b/>
                <w:bCs/>
                <w:szCs w:val="16"/>
              </w:rPr>
            </w:pPr>
            <w:r w:rsidRPr="00B05769">
              <w:rPr>
                <w:rFonts w:cs="Arial"/>
                <w:b/>
                <w:bCs/>
                <w:szCs w:val="16"/>
              </w:rPr>
              <w:t>Outcome A\ Category b</w:t>
            </w:r>
          </w:p>
        </w:tc>
        <w:tc>
          <w:tcPr>
            <w:tcW w:w="914" w:type="pct"/>
            <w:noWrap/>
            <w:vAlign w:val="bottom"/>
            <w:hideMark/>
          </w:tcPr>
          <w:p w14:paraId="5AC595B8" w14:textId="69BC42D0" w:rsidR="00131DBD" w:rsidRPr="00AB65CA" w:rsidRDefault="00131DBD" w:rsidP="00131DBD">
            <w:pPr>
              <w:keepNext/>
              <w:tabs>
                <w:tab w:val="decimal" w:pos="882"/>
              </w:tabs>
              <w:rPr>
                <w:rFonts w:cs="Arial"/>
                <w:color w:val="000000"/>
                <w:szCs w:val="16"/>
              </w:rPr>
            </w:pPr>
            <w:r>
              <w:rPr>
                <w:rFonts w:cs="Arial"/>
                <w:color w:val="000000"/>
                <w:szCs w:val="16"/>
              </w:rPr>
              <w:t>24.44</w:t>
            </w:r>
          </w:p>
        </w:tc>
        <w:tc>
          <w:tcPr>
            <w:tcW w:w="919" w:type="pct"/>
            <w:noWrap/>
            <w:vAlign w:val="bottom"/>
            <w:hideMark/>
          </w:tcPr>
          <w:p w14:paraId="690DA309" w14:textId="765C102F" w:rsidR="00131DBD" w:rsidRPr="00AB65CA" w:rsidRDefault="00131DBD" w:rsidP="00131DBD">
            <w:pPr>
              <w:keepNext/>
              <w:tabs>
                <w:tab w:val="decimal" w:pos="886"/>
              </w:tabs>
              <w:rPr>
                <w:rFonts w:cs="Arial"/>
                <w:color w:val="000000"/>
                <w:szCs w:val="16"/>
              </w:rPr>
            </w:pPr>
            <w:r>
              <w:rPr>
                <w:rFonts w:cs="Arial"/>
                <w:color w:val="000000"/>
                <w:szCs w:val="16"/>
              </w:rPr>
              <w:t>8.87</w:t>
            </w:r>
          </w:p>
        </w:tc>
        <w:tc>
          <w:tcPr>
            <w:tcW w:w="920" w:type="pct"/>
            <w:noWrap/>
            <w:vAlign w:val="bottom"/>
            <w:hideMark/>
          </w:tcPr>
          <w:p w14:paraId="4B347F63" w14:textId="44E5C71F" w:rsidR="00131DBD" w:rsidRPr="00AB65CA" w:rsidRDefault="00131DBD" w:rsidP="00131DBD">
            <w:pPr>
              <w:keepNext/>
              <w:tabs>
                <w:tab w:val="decimal" w:pos="886"/>
              </w:tabs>
              <w:rPr>
                <w:rFonts w:cs="Arial"/>
                <w:color w:val="000000"/>
                <w:szCs w:val="16"/>
              </w:rPr>
            </w:pPr>
            <w:r>
              <w:rPr>
                <w:rFonts w:cs="Arial"/>
                <w:color w:val="000000"/>
                <w:szCs w:val="16"/>
              </w:rPr>
              <w:t>6.69</w:t>
            </w:r>
          </w:p>
        </w:tc>
        <w:tc>
          <w:tcPr>
            <w:tcW w:w="913" w:type="pct"/>
            <w:noWrap/>
            <w:vAlign w:val="bottom"/>
            <w:hideMark/>
          </w:tcPr>
          <w:p w14:paraId="3807E11E" w14:textId="3E14C767" w:rsidR="00131DBD" w:rsidRPr="00AB65CA" w:rsidRDefault="00131DBD" w:rsidP="00131DBD">
            <w:pPr>
              <w:keepNext/>
              <w:tabs>
                <w:tab w:val="decimal" w:pos="946"/>
              </w:tabs>
              <w:rPr>
                <w:rFonts w:cs="Arial"/>
                <w:color w:val="000000"/>
                <w:szCs w:val="16"/>
              </w:rPr>
            </w:pPr>
            <w:r>
              <w:rPr>
                <w:rFonts w:cs="Arial"/>
                <w:color w:val="000000"/>
                <w:szCs w:val="16"/>
              </w:rPr>
              <w:t>42.19</w:t>
            </w:r>
          </w:p>
        </w:tc>
      </w:tr>
      <w:tr w:rsidR="00131DBD" w:rsidRPr="00F83501" w14:paraId="42540E9E" w14:textId="77777777" w:rsidTr="00E415ED">
        <w:tc>
          <w:tcPr>
            <w:tcW w:w="1334" w:type="pct"/>
            <w:noWrap/>
            <w:hideMark/>
          </w:tcPr>
          <w:p w14:paraId="2ED627BC" w14:textId="77777777" w:rsidR="00131DBD" w:rsidRPr="00B05769" w:rsidRDefault="00131DBD" w:rsidP="00131DBD">
            <w:pPr>
              <w:keepNext/>
              <w:rPr>
                <w:rFonts w:cs="Arial"/>
                <w:b/>
                <w:bCs/>
                <w:szCs w:val="16"/>
              </w:rPr>
            </w:pPr>
            <w:r w:rsidRPr="00B05769">
              <w:rPr>
                <w:rFonts w:cs="Arial"/>
                <w:b/>
                <w:bCs/>
                <w:szCs w:val="16"/>
              </w:rPr>
              <w:t>Outcome A\ Category c</w:t>
            </w:r>
          </w:p>
        </w:tc>
        <w:tc>
          <w:tcPr>
            <w:tcW w:w="914" w:type="pct"/>
            <w:noWrap/>
            <w:vAlign w:val="bottom"/>
            <w:hideMark/>
          </w:tcPr>
          <w:p w14:paraId="68BF205A" w14:textId="3E329DC6" w:rsidR="00131DBD" w:rsidRPr="00AB65CA" w:rsidRDefault="00131DBD" w:rsidP="00131DBD">
            <w:pPr>
              <w:keepNext/>
              <w:tabs>
                <w:tab w:val="decimal" w:pos="882"/>
              </w:tabs>
              <w:rPr>
                <w:rFonts w:cs="Arial"/>
                <w:color w:val="000000"/>
                <w:szCs w:val="16"/>
              </w:rPr>
            </w:pPr>
            <w:r>
              <w:rPr>
                <w:rFonts w:cs="Arial"/>
                <w:color w:val="000000"/>
                <w:szCs w:val="16"/>
              </w:rPr>
              <w:t>21.76</w:t>
            </w:r>
          </w:p>
        </w:tc>
        <w:tc>
          <w:tcPr>
            <w:tcW w:w="919" w:type="pct"/>
            <w:noWrap/>
            <w:vAlign w:val="bottom"/>
            <w:hideMark/>
          </w:tcPr>
          <w:p w14:paraId="0748FA5C" w14:textId="36DB893A" w:rsidR="00131DBD" w:rsidRPr="00AB65CA" w:rsidRDefault="00131DBD" w:rsidP="00131DBD">
            <w:pPr>
              <w:keepNext/>
              <w:tabs>
                <w:tab w:val="decimal" w:pos="886"/>
              </w:tabs>
              <w:rPr>
                <w:rFonts w:cs="Arial"/>
                <w:color w:val="000000"/>
                <w:szCs w:val="16"/>
              </w:rPr>
            </w:pPr>
            <w:r>
              <w:rPr>
                <w:rFonts w:cs="Arial"/>
                <w:color w:val="000000"/>
                <w:szCs w:val="16"/>
              </w:rPr>
              <w:t>13.64</w:t>
            </w:r>
          </w:p>
        </w:tc>
        <w:tc>
          <w:tcPr>
            <w:tcW w:w="920" w:type="pct"/>
            <w:noWrap/>
            <w:vAlign w:val="bottom"/>
            <w:hideMark/>
          </w:tcPr>
          <w:p w14:paraId="15B950D9" w14:textId="1F2C36D0" w:rsidR="00131DBD" w:rsidRPr="00AB65CA" w:rsidRDefault="00131DBD" w:rsidP="00131DBD">
            <w:pPr>
              <w:keepNext/>
              <w:tabs>
                <w:tab w:val="decimal" w:pos="886"/>
              </w:tabs>
              <w:rPr>
                <w:rFonts w:cs="Arial"/>
                <w:color w:val="000000"/>
                <w:szCs w:val="16"/>
              </w:rPr>
            </w:pPr>
            <w:r>
              <w:rPr>
                <w:rFonts w:cs="Arial"/>
                <w:color w:val="000000"/>
                <w:szCs w:val="16"/>
              </w:rPr>
              <w:t>-5.52</w:t>
            </w:r>
          </w:p>
        </w:tc>
        <w:tc>
          <w:tcPr>
            <w:tcW w:w="913" w:type="pct"/>
            <w:noWrap/>
            <w:vAlign w:val="bottom"/>
            <w:hideMark/>
          </w:tcPr>
          <w:p w14:paraId="015F5BDE" w14:textId="7E3F7AA3" w:rsidR="00131DBD" w:rsidRPr="00AB65CA" w:rsidRDefault="00131DBD" w:rsidP="00131DBD">
            <w:pPr>
              <w:keepNext/>
              <w:tabs>
                <w:tab w:val="decimal" w:pos="946"/>
              </w:tabs>
              <w:rPr>
                <w:rFonts w:cs="Arial"/>
                <w:color w:val="000000"/>
                <w:szCs w:val="16"/>
              </w:rPr>
            </w:pPr>
            <w:r>
              <w:rPr>
                <w:rFonts w:cs="Arial"/>
                <w:color w:val="000000"/>
                <w:szCs w:val="16"/>
              </w:rPr>
              <w:t>49.04</w:t>
            </w:r>
          </w:p>
        </w:tc>
      </w:tr>
      <w:tr w:rsidR="00131DBD" w:rsidRPr="00F83501" w14:paraId="17F6CB09" w14:textId="77777777" w:rsidTr="00E415ED">
        <w:tc>
          <w:tcPr>
            <w:tcW w:w="1334" w:type="pct"/>
            <w:noWrap/>
            <w:hideMark/>
          </w:tcPr>
          <w:p w14:paraId="2DC19B5E" w14:textId="77777777" w:rsidR="00131DBD" w:rsidRPr="00B05769" w:rsidRDefault="00131DBD" w:rsidP="00131DBD">
            <w:pPr>
              <w:keepNext/>
              <w:rPr>
                <w:rFonts w:cs="Arial"/>
                <w:b/>
                <w:bCs/>
                <w:szCs w:val="16"/>
              </w:rPr>
            </w:pPr>
            <w:r w:rsidRPr="00B05769">
              <w:rPr>
                <w:rFonts w:cs="Arial"/>
                <w:b/>
                <w:bCs/>
                <w:szCs w:val="16"/>
              </w:rPr>
              <w:t>Outcome A\ Category d</w:t>
            </w:r>
          </w:p>
        </w:tc>
        <w:tc>
          <w:tcPr>
            <w:tcW w:w="914" w:type="pct"/>
            <w:noWrap/>
            <w:vAlign w:val="bottom"/>
            <w:hideMark/>
          </w:tcPr>
          <w:p w14:paraId="77722D87" w14:textId="6450BE71" w:rsidR="00131DBD" w:rsidRPr="00AB65CA" w:rsidRDefault="00131DBD" w:rsidP="00131DBD">
            <w:pPr>
              <w:keepNext/>
              <w:tabs>
                <w:tab w:val="decimal" w:pos="882"/>
              </w:tabs>
              <w:rPr>
                <w:rFonts w:cs="Arial"/>
                <w:color w:val="000000"/>
                <w:szCs w:val="16"/>
              </w:rPr>
            </w:pPr>
            <w:r>
              <w:rPr>
                <w:rFonts w:cs="Arial"/>
                <w:color w:val="000000"/>
                <w:szCs w:val="16"/>
              </w:rPr>
              <w:t>26.56</w:t>
            </w:r>
          </w:p>
        </w:tc>
        <w:tc>
          <w:tcPr>
            <w:tcW w:w="919" w:type="pct"/>
            <w:noWrap/>
            <w:vAlign w:val="bottom"/>
            <w:hideMark/>
          </w:tcPr>
          <w:p w14:paraId="72497FB6" w14:textId="08A6DF61" w:rsidR="00131DBD" w:rsidRPr="00AB65CA" w:rsidRDefault="00131DBD" w:rsidP="00131DBD">
            <w:pPr>
              <w:keepNext/>
              <w:tabs>
                <w:tab w:val="decimal" w:pos="886"/>
              </w:tabs>
              <w:rPr>
                <w:rFonts w:cs="Arial"/>
                <w:color w:val="000000"/>
                <w:szCs w:val="16"/>
              </w:rPr>
            </w:pPr>
            <w:r>
              <w:rPr>
                <w:rFonts w:cs="Arial"/>
                <w:color w:val="000000"/>
                <w:szCs w:val="16"/>
              </w:rPr>
              <w:t>9.69</w:t>
            </w:r>
          </w:p>
        </w:tc>
        <w:tc>
          <w:tcPr>
            <w:tcW w:w="920" w:type="pct"/>
            <w:noWrap/>
            <w:vAlign w:val="bottom"/>
            <w:hideMark/>
          </w:tcPr>
          <w:p w14:paraId="08B56A13" w14:textId="04D4360D" w:rsidR="00131DBD" w:rsidRPr="00AB65CA" w:rsidRDefault="00131DBD" w:rsidP="00131DBD">
            <w:pPr>
              <w:keepNext/>
              <w:tabs>
                <w:tab w:val="decimal" w:pos="886"/>
              </w:tabs>
              <w:rPr>
                <w:rFonts w:cs="Arial"/>
                <w:color w:val="000000"/>
                <w:szCs w:val="16"/>
              </w:rPr>
            </w:pPr>
            <w:r>
              <w:rPr>
                <w:rFonts w:cs="Arial"/>
                <w:color w:val="000000"/>
                <w:szCs w:val="16"/>
              </w:rPr>
              <w:t>7.17</w:t>
            </w:r>
          </w:p>
        </w:tc>
        <w:tc>
          <w:tcPr>
            <w:tcW w:w="913" w:type="pct"/>
            <w:noWrap/>
            <w:vAlign w:val="bottom"/>
            <w:hideMark/>
          </w:tcPr>
          <w:p w14:paraId="32B2FF3E" w14:textId="5C2A51D5" w:rsidR="00131DBD" w:rsidRPr="00AB65CA" w:rsidRDefault="00131DBD" w:rsidP="00131DBD">
            <w:pPr>
              <w:keepNext/>
              <w:tabs>
                <w:tab w:val="decimal" w:pos="946"/>
              </w:tabs>
              <w:rPr>
                <w:rFonts w:cs="Arial"/>
                <w:color w:val="000000"/>
                <w:szCs w:val="16"/>
              </w:rPr>
            </w:pPr>
            <w:r>
              <w:rPr>
                <w:rFonts w:cs="Arial"/>
                <w:color w:val="000000"/>
                <w:szCs w:val="16"/>
              </w:rPr>
              <w:t>45.94</w:t>
            </w:r>
          </w:p>
        </w:tc>
      </w:tr>
      <w:tr w:rsidR="00131DBD" w:rsidRPr="00F83501" w14:paraId="4D3CF099" w14:textId="77777777" w:rsidTr="00E415ED">
        <w:tc>
          <w:tcPr>
            <w:tcW w:w="1334" w:type="pct"/>
            <w:noWrap/>
            <w:hideMark/>
          </w:tcPr>
          <w:p w14:paraId="71D7E61E" w14:textId="77777777" w:rsidR="00131DBD" w:rsidRPr="00B05769" w:rsidRDefault="00131DBD" w:rsidP="00131DBD">
            <w:pPr>
              <w:keepNext/>
              <w:rPr>
                <w:rFonts w:cs="Arial"/>
                <w:b/>
                <w:bCs/>
                <w:szCs w:val="16"/>
              </w:rPr>
            </w:pPr>
            <w:r w:rsidRPr="00B05769">
              <w:rPr>
                <w:rFonts w:cs="Arial"/>
                <w:b/>
                <w:bCs/>
                <w:szCs w:val="16"/>
              </w:rPr>
              <w:t>Outcome A\ Category e</w:t>
            </w:r>
          </w:p>
        </w:tc>
        <w:tc>
          <w:tcPr>
            <w:tcW w:w="914" w:type="pct"/>
            <w:noWrap/>
            <w:vAlign w:val="bottom"/>
            <w:hideMark/>
          </w:tcPr>
          <w:p w14:paraId="02A4028A" w14:textId="5E9252A9" w:rsidR="00131DBD" w:rsidRPr="00AB65CA" w:rsidRDefault="00131DBD" w:rsidP="00131DBD">
            <w:pPr>
              <w:keepNext/>
              <w:tabs>
                <w:tab w:val="decimal" w:pos="882"/>
              </w:tabs>
              <w:rPr>
                <w:rFonts w:cs="Arial"/>
                <w:color w:val="000000"/>
                <w:szCs w:val="16"/>
              </w:rPr>
            </w:pPr>
            <w:r>
              <w:rPr>
                <w:rFonts w:cs="Arial"/>
                <w:color w:val="000000"/>
                <w:szCs w:val="16"/>
              </w:rPr>
              <w:t>25.72</w:t>
            </w:r>
          </w:p>
        </w:tc>
        <w:tc>
          <w:tcPr>
            <w:tcW w:w="919" w:type="pct"/>
            <w:noWrap/>
            <w:vAlign w:val="bottom"/>
            <w:hideMark/>
          </w:tcPr>
          <w:p w14:paraId="69022280" w14:textId="2E7A0805" w:rsidR="00131DBD" w:rsidRPr="00AB65CA" w:rsidRDefault="00131DBD" w:rsidP="00131DBD">
            <w:pPr>
              <w:keepNext/>
              <w:tabs>
                <w:tab w:val="decimal" w:pos="886"/>
              </w:tabs>
              <w:rPr>
                <w:rFonts w:cs="Arial"/>
                <w:color w:val="000000"/>
                <w:szCs w:val="16"/>
              </w:rPr>
            </w:pPr>
            <w:r>
              <w:rPr>
                <w:rFonts w:cs="Arial"/>
                <w:color w:val="000000"/>
                <w:szCs w:val="16"/>
              </w:rPr>
              <w:t>15.93</w:t>
            </w:r>
          </w:p>
        </w:tc>
        <w:tc>
          <w:tcPr>
            <w:tcW w:w="920" w:type="pct"/>
            <w:noWrap/>
            <w:vAlign w:val="bottom"/>
            <w:hideMark/>
          </w:tcPr>
          <w:p w14:paraId="11F27574" w14:textId="1A926D81" w:rsidR="00131DBD" w:rsidRPr="00AB65CA" w:rsidRDefault="00131DBD" w:rsidP="00131DBD">
            <w:pPr>
              <w:keepNext/>
              <w:tabs>
                <w:tab w:val="decimal" w:pos="886"/>
              </w:tabs>
              <w:rPr>
                <w:rFonts w:cs="Arial"/>
                <w:color w:val="000000"/>
                <w:szCs w:val="16"/>
              </w:rPr>
            </w:pPr>
            <w:r>
              <w:rPr>
                <w:rFonts w:cs="Arial"/>
                <w:color w:val="000000"/>
                <w:szCs w:val="16"/>
              </w:rPr>
              <w:t>-6.14</w:t>
            </w:r>
          </w:p>
        </w:tc>
        <w:tc>
          <w:tcPr>
            <w:tcW w:w="913" w:type="pct"/>
            <w:noWrap/>
            <w:vAlign w:val="bottom"/>
            <w:hideMark/>
          </w:tcPr>
          <w:p w14:paraId="1D908B4E" w14:textId="7E7F9E7D" w:rsidR="00131DBD" w:rsidRPr="00AB65CA" w:rsidRDefault="00131DBD" w:rsidP="00131DBD">
            <w:pPr>
              <w:keepNext/>
              <w:tabs>
                <w:tab w:val="decimal" w:pos="946"/>
              </w:tabs>
              <w:rPr>
                <w:rFonts w:cs="Arial"/>
                <w:color w:val="000000"/>
                <w:szCs w:val="16"/>
              </w:rPr>
            </w:pPr>
            <w:r>
              <w:rPr>
                <w:rFonts w:cs="Arial"/>
                <w:color w:val="000000"/>
                <w:szCs w:val="16"/>
              </w:rPr>
              <w:t>57.59</w:t>
            </w:r>
          </w:p>
        </w:tc>
      </w:tr>
      <w:tr w:rsidR="00131DBD" w:rsidRPr="00F83501" w14:paraId="3C0B2AD9" w14:textId="77777777" w:rsidTr="00E415ED">
        <w:tc>
          <w:tcPr>
            <w:tcW w:w="1334" w:type="pct"/>
            <w:noWrap/>
            <w:hideMark/>
          </w:tcPr>
          <w:p w14:paraId="35E6FF70" w14:textId="77777777" w:rsidR="00131DBD" w:rsidRPr="00B05769" w:rsidRDefault="00131DBD" w:rsidP="00131DBD">
            <w:pPr>
              <w:keepNext/>
              <w:rPr>
                <w:rFonts w:cs="Arial"/>
                <w:b/>
                <w:bCs/>
                <w:szCs w:val="16"/>
              </w:rPr>
            </w:pPr>
            <w:r w:rsidRPr="00B05769">
              <w:rPr>
                <w:rFonts w:cs="Arial"/>
                <w:b/>
                <w:bCs/>
                <w:szCs w:val="16"/>
              </w:rPr>
              <w:t>Outcome B\ Category b</w:t>
            </w:r>
          </w:p>
        </w:tc>
        <w:tc>
          <w:tcPr>
            <w:tcW w:w="914" w:type="pct"/>
            <w:noWrap/>
            <w:vAlign w:val="bottom"/>
            <w:hideMark/>
          </w:tcPr>
          <w:p w14:paraId="79E24E11" w14:textId="00F01D32" w:rsidR="00131DBD" w:rsidRPr="00AB65CA" w:rsidRDefault="00131DBD" w:rsidP="00131DBD">
            <w:pPr>
              <w:keepNext/>
              <w:tabs>
                <w:tab w:val="decimal" w:pos="882"/>
              </w:tabs>
              <w:rPr>
                <w:rFonts w:cs="Arial"/>
                <w:color w:val="000000"/>
                <w:szCs w:val="16"/>
              </w:rPr>
            </w:pPr>
            <w:r>
              <w:rPr>
                <w:rFonts w:cs="Arial"/>
                <w:color w:val="000000"/>
                <w:szCs w:val="16"/>
              </w:rPr>
              <w:t>26.16</w:t>
            </w:r>
          </w:p>
        </w:tc>
        <w:tc>
          <w:tcPr>
            <w:tcW w:w="919" w:type="pct"/>
            <w:noWrap/>
            <w:vAlign w:val="bottom"/>
            <w:hideMark/>
          </w:tcPr>
          <w:p w14:paraId="79D9CEF8" w14:textId="169CBD57" w:rsidR="00131DBD" w:rsidRPr="00AB65CA" w:rsidRDefault="00131DBD" w:rsidP="00131DBD">
            <w:pPr>
              <w:keepNext/>
              <w:tabs>
                <w:tab w:val="decimal" w:pos="886"/>
              </w:tabs>
              <w:rPr>
                <w:rFonts w:cs="Arial"/>
                <w:color w:val="000000"/>
                <w:szCs w:val="16"/>
              </w:rPr>
            </w:pPr>
            <w:r>
              <w:rPr>
                <w:rFonts w:cs="Arial"/>
                <w:color w:val="000000"/>
                <w:szCs w:val="16"/>
              </w:rPr>
              <w:t>9.47</w:t>
            </w:r>
          </w:p>
        </w:tc>
        <w:tc>
          <w:tcPr>
            <w:tcW w:w="920" w:type="pct"/>
            <w:noWrap/>
            <w:vAlign w:val="bottom"/>
            <w:hideMark/>
          </w:tcPr>
          <w:p w14:paraId="33E5F668" w14:textId="16187299" w:rsidR="00131DBD" w:rsidRPr="00AB65CA" w:rsidRDefault="00131DBD" w:rsidP="00131DBD">
            <w:pPr>
              <w:keepNext/>
              <w:tabs>
                <w:tab w:val="decimal" w:pos="886"/>
              </w:tabs>
              <w:rPr>
                <w:rFonts w:cs="Arial"/>
                <w:color w:val="000000"/>
                <w:szCs w:val="16"/>
              </w:rPr>
            </w:pPr>
            <w:r>
              <w:rPr>
                <w:rFonts w:cs="Arial"/>
                <w:color w:val="000000"/>
                <w:szCs w:val="16"/>
              </w:rPr>
              <w:t>7.23</w:t>
            </w:r>
          </w:p>
        </w:tc>
        <w:tc>
          <w:tcPr>
            <w:tcW w:w="913" w:type="pct"/>
            <w:noWrap/>
            <w:vAlign w:val="bottom"/>
            <w:hideMark/>
          </w:tcPr>
          <w:p w14:paraId="182AC66E" w14:textId="42F11B34" w:rsidR="00131DBD" w:rsidRPr="00AB65CA" w:rsidRDefault="00131DBD" w:rsidP="00131DBD">
            <w:pPr>
              <w:keepNext/>
              <w:tabs>
                <w:tab w:val="decimal" w:pos="946"/>
              </w:tabs>
              <w:rPr>
                <w:rFonts w:cs="Arial"/>
                <w:color w:val="000000"/>
                <w:szCs w:val="16"/>
              </w:rPr>
            </w:pPr>
            <w:r>
              <w:rPr>
                <w:rFonts w:cs="Arial"/>
                <w:color w:val="000000"/>
                <w:szCs w:val="16"/>
              </w:rPr>
              <w:t>45.1</w:t>
            </w:r>
          </w:p>
        </w:tc>
      </w:tr>
      <w:tr w:rsidR="00131DBD" w:rsidRPr="00F83501" w14:paraId="19CCC4BA" w14:textId="77777777" w:rsidTr="00E415ED">
        <w:tc>
          <w:tcPr>
            <w:tcW w:w="1334" w:type="pct"/>
            <w:noWrap/>
            <w:hideMark/>
          </w:tcPr>
          <w:p w14:paraId="1377AC37" w14:textId="77777777" w:rsidR="00131DBD" w:rsidRPr="00B05769" w:rsidRDefault="00131DBD" w:rsidP="00131DBD">
            <w:pPr>
              <w:keepNext/>
              <w:rPr>
                <w:rFonts w:cs="Arial"/>
                <w:b/>
                <w:bCs/>
                <w:szCs w:val="16"/>
              </w:rPr>
            </w:pPr>
            <w:r w:rsidRPr="00B05769">
              <w:rPr>
                <w:rFonts w:cs="Arial"/>
                <w:b/>
                <w:bCs/>
                <w:szCs w:val="16"/>
              </w:rPr>
              <w:t>Outcome B\ Category c</w:t>
            </w:r>
          </w:p>
        </w:tc>
        <w:tc>
          <w:tcPr>
            <w:tcW w:w="914" w:type="pct"/>
            <w:noWrap/>
            <w:vAlign w:val="bottom"/>
            <w:hideMark/>
          </w:tcPr>
          <w:p w14:paraId="7116643D" w14:textId="36AD8441" w:rsidR="00131DBD" w:rsidRPr="00AB65CA" w:rsidRDefault="00131DBD" w:rsidP="00131DBD">
            <w:pPr>
              <w:keepNext/>
              <w:tabs>
                <w:tab w:val="decimal" w:pos="882"/>
              </w:tabs>
              <w:rPr>
                <w:rFonts w:cs="Arial"/>
                <w:color w:val="000000"/>
                <w:szCs w:val="16"/>
              </w:rPr>
            </w:pPr>
            <w:r>
              <w:rPr>
                <w:rFonts w:cs="Arial"/>
                <w:color w:val="000000"/>
                <w:szCs w:val="16"/>
              </w:rPr>
              <w:t>30.12</w:t>
            </w:r>
          </w:p>
        </w:tc>
        <w:tc>
          <w:tcPr>
            <w:tcW w:w="919" w:type="pct"/>
            <w:noWrap/>
            <w:vAlign w:val="bottom"/>
            <w:hideMark/>
          </w:tcPr>
          <w:p w14:paraId="03106316" w14:textId="39B7720D" w:rsidR="00131DBD" w:rsidRPr="00AB65CA" w:rsidRDefault="00131DBD" w:rsidP="00131DBD">
            <w:pPr>
              <w:keepNext/>
              <w:tabs>
                <w:tab w:val="decimal" w:pos="886"/>
              </w:tabs>
              <w:rPr>
                <w:rFonts w:cs="Arial"/>
                <w:color w:val="000000"/>
                <w:szCs w:val="16"/>
              </w:rPr>
            </w:pPr>
            <w:r>
              <w:rPr>
                <w:rFonts w:cs="Arial"/>
                <w:color w:val="000000"/>
                <w:szCs w:val="16"/>
              </w:rPr>
              <w:t>12.97</w:t>
            </w:r>
          </w:p>
        </w:tc>
        <w:tc>
          <w:tcPr>
            <w:tcW w:w="920" w:type="pct"/>
            <w:noWrap/>
            <w:vAlign w:val="bottom"/>
            <w:hideMark/>
          </w:tcPr>
          <w:p w14:paraId="26B5FE43" w14:textId="4D9F3EA7" w:rsidR="00131DBD" w:rsidRPr="00AB65CA" w:rsidRDefault="00131DBD" w:rsidP="00131DBD">
            <w:pPr>
              <w:keepNext/>
              <w:tabs>
                <w:tab w:val="decimal" w:pos="886"/>
              </w:tabs>
              <w:rPr>
                <w:rFonts w:cs="Arial"/>
                <w:color w:val="000000"/>
                <w:szCs w:val="16"/>
              </w:rPr>
            </w:pPr>
            <w:r>
              <w:rPr>
                <w:rFonts w:cs="Arial"/>
                <w:color w:val="000000"/>
                <w:szCs w:val="16"/>
              </w:rPr>
              <w:t>4.17</w:t>
            </w:r>
          </w:p>
        </w:tc>
        <w:tc>
          <w:tcPr>
            <w:tcW w:w="913" w:type="pct"/>
            <w:noWrap/>
            <w:vAlign w:val="bottom"/>
            <w:hideMark/>
          </w:tcPr>
          <w:p w14:paraId="2EE81DD2" w14:textId="71337604" w:rsidR="00131DBD" w:rsidRPr="00AB65CA" w:rsidRDefault="00131DBD" w:rsidP="00131DBD">
            <w:pPr>
              <w:keepNext/>
              <w:tabs>
                <w:tab w:val="decimal" w:pos="946"/>
              </w:tabs>
              <w:rPr>
                <w:rFonts w:cs="Arial"/>
                <w:color w:val="000000"/>
                <w:szCs w:val="16"/>
              </w:rPr>
            </w:pPr>
            <w:r>
              <w:rPr>
                <w:rFonts w:cs="Arial"/>
                <w:color w:val="000000"/>
                <w:szCs w:val="16"/>
              </w:rPr>
              <w:t>56.07</w:t>
            </w:r>
          </w:p>
        </w:tc>
      </w:tr>
      <w:tr w:rsidR="00131DBD" w:rsidRPr="00F83501" w14:paraId="05C7D05D" w14:textId="77777777" w:rsidTr="00E415ED">
        <w:tc>
          <w:tcPr>
            <w:tcW w:w="1334" w:type="pct"/>
            <w:noWrap/>
            <w:hideMark/>
          </w:tcPr>
          <w:p w14:paraId="5FA3D954" w14:textId="77777777" w:rsidR="00131DBD" w:rsidRPr="00B05769" w:rsidRDefault="00131DBD" w:rsidP="00131DBD">
            <w:pPr>
              <w:keepNext/>
              <w:rPr>
                <w:rFonts w:cs="Arial"/>
                <w:b/>
                <w:bCs/>
                <w:szCs w:val="16"/>
              </w:rPr>
            </w:pPr>
            <w:r w:rsidRPr="00B05769">
              <w:rPr>
                <w:rFonts w:cs="Arial"/>
                <w:b/>
                <w:bCs/>
                <w:szCs w:val="16"/>
              </w:rPr>
              <w:t>Outcome B\ Category d</w:t>
            </w:r>
          </w:p>
        </w:tc>
        <w:tc>
          <w:tcPr>
            <w:tcW w:w="914" w:type="pct"/>
            <w:noWrap/>
            <w:vAlign w:val="bottom"/>
            <w:hideMark/>
          </w:tcPr>
          <w:p w14:paraId="2BD5497A" w14:textId="5E436020" w:rsidR="00131DBD" w:rsidRPr="00AB65CA" w:rsidRDefault="00131DBD" w:rsidP="00131DBD">
            <w:pPr>
              <w:keepNext/>
              <w:tabs>
                <w:tab w:val="decimal" w:pos="882"/>
              </w:tabs>
              <w:rPr>
                <w:rFonts w:cs="Arial"/>
                <w:color w:val="000000"/>
                <w:szCs w:val="16"/>
              </w:rPr>
            </w:pPr>
            <w:r>
              <w:rPr>
                <w:rFonts w:cs="Arial"/>
                <w:color w:val="000000"/>
                <w:szCs w:val="16"/>
              </w:rPr>
              <w:t>30.25</w:t>
            </w:r>
          </w:p>
        </w:tc>
        <w:tc>
          <w:tcPr>
            <w:tcW w:w="919" w:type="pct"/>
            <w:noWrap/>
            <w:vAlign w:val="bottom"/>
            <w:hideMark/>
          </w:tcPr>
          <w:p w14:paraId="30709E9E" w14:textId="59CBA263" w:rsidR="00131DBD" w:rsidRPr="00AB65CA" w:rsidRDefault="00131DBD" w:rsidP="00131DBD">
            <w:pPr>
              <w:keepNext/>
              <w:tabs>
                <w:tab w:val="decimal" w:pos="886"/>
              </w:tabs>
              <w:rPr>
                <w:rFonts w:cs="Arial"/>
                <w:color w:val="000000"/>
                <w:szCs w:val="16"/>
              </w:rPr>
            </w:pPr>
            <w:r>
              <w:rPr>
                <w:rFonts w:cs="Arial"/>
                <w:color w:val="000000"/>
                <w:szCs w:val="16"/>
              </w:rPr>
              <w:t>8.17</w:t>
            </w:r>
          </w:p>
        </w:tc>
        <w:tc>
          <w:tcPr>
            <w:tcW w:w="920" w:type="pct"/>
            <w:noWrap/>
            <w:vAlign w:val="bottom"/>
            <w:hideMark/>
          </w:tcPr>
          <w:p w14:paraId="6B81F04F" w14:textId="742185FB" w:rsidR="00131DBD" w:rsidRPr="00AB65CA" w:rsidRDefault="00131DBD" w:rsidP="00131DBD">
            <w:pPr>
              <w:keepNext/>
              <w:tabs>
                <w:tab w:val="decimal" w:pos="886"/>
              </w:tabs>
              <w:rPr>
                <w:rFonts w:cs="Arial"/>
                <w:color w:val="000000"/>
                <w:szCs w:val="16"/>
              </w:rPr>
            </w:pPr>
            <w:r>
              <w:rPr>
                <w:rFonts w:cs="Arial"/>
                <w:color w:val="000000"/>
                <w:szCs w:val="16"/>
              </w:rPr>
              <w:t>13.92</w:t>
            </w:r>
          </w:p>
        </w:tc>
        <w:tc>
          <w:tcPr>
            <w:tcW w:w="913" w:type="pct"/>
            <w:noWrap/>
            <w:vAlign w:val="bottom"/>
            <w:hideMark/>
          </w:tcPr>
          <w:p w14:paraId="72ECE987" w14:textId="451DDC1A" w:rsidR="00131DBD" w:rsidRPr="00AB65CA" w:rsidRDefault="00131DBD" w:rsidP="00131DBD">
            <w:pPr>
              <w:keepNext/>
              <w:tabs>
                <w:tab w:val="decimal" w:pos="946"/>
              </w:tabs>
              <w:rPr>
                <w:rFonts w:cs="Arial"/>
                <w:color w:val="000000"/>
                <w:szCs w:val="16"/>
              </w:rPr>
            </w:pPr>
            <w:r>
              <w:rPr>
                <w:rFonts w:cs="Arial"/>
                <w:color w:val="000000"/>
                <w:szCs w:val="16"/>
              </w:rPr>
              <w:t>46.59</w:t>
            </w:r>
          </w:p>
        </w:tc>
      </w:tr>
      <w:tr w:rsidR="00131DBD" w:rsidRPr="00F83501" w14:paraId="327D4090" w14:textId="77777777" w:rsidTr="00E415ED">
        <w:tc>
          <w:tcPr>
            <w:tcW w:w="1334" w:type="pct"/>
            <w:noWrap/>
            <w:hideMark/>
          </w:tcPr>
          <w:p w14:paraId="5D913E0D" w14:textId="77777777" w:rsidR="00131DBD" w:rsidRPr="00B05769" w:rsidRDefault="00131DBD" w:rsidP="00131DBD">
            <w:pPr>
              <w:keepNext/>
              <w:rPr>
                <w:rFonts w:cs="Arial"/>
                <w:b/>
                <w:bCs/>
                <w:szCs w:val="16"/>
              </w:rPr>
            </w:pPr>
            <w:r w:rsidRPr="00B05769">
              <w:rPr>
                <w:rFonts w:cs="Arial"/>
                <w:b/>
                <w:bCs/>
                <w:szCs w:val="16"/>
              </w:rPr>
              <w:t>Outcome B\ Category e</w:t>
            </w:r>
          </w:p>
        </w:tc>
        <w:tc>
          <w:tcPr>
            <w:tcW w:w="914" w:type="pct"/>
            <w:noWrap/>
            <w:vAlign w:val="bottom"/>
            <w:hideMark/>
          </w:tcPr>
          <w:p w14:paraId="28065064" w14:textId="2591BD45" w:rsidR="00131DBD" w:rsidRPr="00AB65CA" w:rsidRDefault="00131DBD" w:rsidP="00131DBD">
            <w:pPr>
              <w:keepNext/>
              <w:tabs>
                <w:tab w:val="decimal" w:pos="882"/>
              </w:tabs>
              <w:rPr>
                <w:rFonts w:cs="Arial"/>
                <w:color w:val="000000"/>
                <w:szCs w:val="16"/>
              </w:rPr>
            </w:pPr>
            <w:r>
              <w:rPr>
                <w:rFonts w:cs="Arial"/>
                <w:color w:val="000000"/>
                <w:szCs w:val="16"/>
              </w:rPr>
              <w:t>12.12</w:t>
            </w:r>
          </w:p>
        </w:tc>
        <w:tc>
          <w:tcPr>
            <w:tcW w:w="919" w:type="pct"/>
            <w:noWrap/>
            <w:vAlign w:val="bottom"/>
            <w:hideMark/>
          </w:tcPr>
          <w:p w14:paraId="1546D3BD" w14:textId="6316C227" w:rsidR="00131DBD" w:rsidRPr="00AB65CA" w:rsidRDefault="00131DBD" w:rsidP="00131DBD">
            <w:pPr>
              <w:keepNext/>
              <w:tabs>
                <w:tab w:val="decimal" w:pos="886"/>
              </w:tabs>
              <w:rPr>
                <w:rFonts w:cs="Arial"/>
                <w:color w:val="000000"/>
                <w:szCs w:val="16"/>
              </w:rPr>
            </w:pPr>
            <w:r>
              <w:rPr>
                <w:rFonts w:cs="Arial"/>
                <w:color w:val="000000"/>
                <w:szCs w:val="16"/>
              </w:rPr>
              <w:t>8.46</w:t>
            </w:r>
          </w:p>
        </w:tc>
        <w:tc>
          <w:tcPr>
            <w:tcW w:w="920" w:type="pct"/>
            <w:noWrap/>
            <w:vAlign w:val="bottom"/>
            <w:hideMark/>
          </w:tcPr>
          <w:p w14:paraId="5935B11B" w14:textId="7B2333F2" w:rsidR="00131DBD" w:rsidRPr="00AB65CA" w:rsidRDefault="00131DBD" w:rsidP="00131DBD">
            <w:pPr>
              <w:keepNext/>
              <w:tabs>
                <w:tab w:val="decimal" w:pos="886"/>
              </w:tabs>
              <w:rPr>
                <w:rFonts w:cs="Arial"/>
                <w:color w:val="000000"/>
                <w:szCs w:val="16"/>
              </w:rPr>
            </w:pPr>
            <w:r>
              <w:rPr>
                <w:rFonts w:cs="Arial"/>
                <w:color w:val="000000"/>
                <w:szCs w:val="16"/>
              </w:rPr>
              <w:t>-4.79</w:t>
            </w:r>
          </w:p>
        </w:tc>
        <w:tc>
          <w:tcPr>
            <w:tcW w:w="913" w:type="pct"/>
            <w:noWrap/>
            <w:vAlign w:val="bottom"/>
            <w:hideMark/>
          </w:tcPr>
          <w:p w14:paraId="7BD84287" w14:textId="108CCCB1" w:rsidR="00131DBD" w:rsidRPr="00AB65CA" w:rsidRDefault="00131DBD" w:rsidP="00131DBD">
            <w:pPr>
              <w:keepNext/>
              <w:tabs>
                <w:tab w:val="decimal" w:pos="946"/>
              </w:tabs>
              <w:rPr>
                <w:rFonts w:cs="Arial"/>
                <w:color w:val="000000"/>
                <w:szCs w:val="16"/>
              </w:rPr>
            </w:pPr>
            <w:r>
              <w:rPr>
                <w:rFonts w:cs="Arial"/>
                <w:color w:val="000000"/>
                <w:szCs w:val="16"/>
              </w:rPr>
              <w:t>29.04</w:t>
            </w:r>
          </w:p>
        </w:tc>
      </w:tr>
      <w:tr w:rsidR="00131DBD" w:rsidRPr="00F83501" w14:paraId="4B5BB26D" w14:textId="77777777" w:rsidTr="00E415ED">
        <w:tc>
          <w:tcPr>
            <w:tcW w:w="1334" w:type="pct"/>
            <w:noWrap/>
            <w:hideMark/>
          </w:tcPr>
          <w:p w14:paraId="0A22902F" w14:textId="77777777" w:rsidR="00131DBD" w:rsidRPr="00B05769" w:rsidRDefault="00131DBD" w:rsidP="00131DBD">
            <w:pPr>
              <w:keepNext/>
              <w:rPr>
                <w:rFonts w:cs="Arial"/>
                <w:b/>
                <w:bCs/>
                <w:szCs w:val="16"/>
              </w:rPr>
            </w:pPr>
            <w:r w:rsidRPr="00B05769">
              <w:rPr>
                <w:rFonts w:cs="Arial"/>
                <w:b/>
                <w:bCs/>
                <w:szCs w:val="16"/>
              </w:rPr>
              <w:t>Outcome C\ Category b</w:t>
            </w:r>
          </w:p>
        </w:tc>
        <w:tc>
          <w:tcPr>
            <w:tcW w:w="914" w:type="pct"/>
            <w:noWrap/>
            <w:vAlign w:val="bottom"/>
            <w:hideMark/>
          </w:tcPr>
          <w:p w14:paraId="6B021391" w14:textId="04956CDC" w:rsidR="00131DBD" w:rsidRPr="00AB65CA" w:rsidRDefault="00131DBD" w:rsidP="00131DBD">
            <w:pPr>
              <w:keepNext/>
              <w:tabs>
                <w:tab w:val="decimal" w:pos="882"/>
              </w:tabs>
              <w:rPr>
                <w:rFonts w:cs="Arial"/>
                <w:color w:val="000000"/>
                <w:szCs w:val="16"/>
              </w:rPr>
            </w:pPr>
            <w:r>
              <w:rPr>
                <w:rFonts w:cs="Arial"/>
                <w:color w:val="000000"/>
                <w:szCs w:val="16"/>
              </w:rPr>
              <w:t>21.94</w:t>
            </w:r>
          </w:p>
        </w:tc>
        <w:tc>
          <w:tcPr>
            <w:tcW w:w="919" w:type="pct"/>
            <w:noWrap/>
            <w:vAlign w:val="bottom"/>
            <w:hideMark/>
          </w:tcPr>
          <w:p w14:paraId="49B5A03B" w14:textId="737DDD21" w:rsidR="00131DBD" w:rsidRPr="00AB65CA" w:rsidRDefault="00131DBD" w:rsidP="00131DBD">
            <w:pPr>
              <w:keepNext/>
              <w:tabs>
                <w:tab w:val="decimal" w:pos="886"/>
              </w:tabs>
              <w:rPr>
                <w:rFonts w:cs="Arial"/>
                <w:color w:val="000000"/>
                <w:szCs w:val="16"/>
              </w:rPr>
            </w:pPr>
            <w:r>
              <w:rPr>
                <w:rFonts w:cs="Arial"/>
                <w:color w:val="000000"/>
                <w:szCs w:val="16"/>
              </w:rPr>
              <w:t>9.15</w:t>
            </w:r>
          </w:p>
        </w:tc>
        <w:tc>
          <w:tcPr>
            <w:tcW w:w="920" w:type="pct"/>
            <w:noWrap/>
            <w:vAlign w:val="bottom"/>
            <w:hideMark/>
          </w:tcPr>
          <w:p w14:paraId="57D0C954" w14:textId="3E993772" w:rsidR="00131DBD" w:rsidRPr="00AB65CA" w:rsidRDefault="00131DBD" w:rsidP="00131DBD">
            <w:pPr>
              <w:keepNext/>
              <w:tabs>
                <w:tab w:val="decimal" w:pos="886"/>
              </w:tabs>
              <w:rPr>
                <w:rFonts w:cs="Arial"/>
                <w:color w:val="000000"/>
                <w:szCs w:val="16"/>
              </w:rPr>
            </w:pPr>
            <w:r>
              <w:rPr>
                <w:rFonts w:cs="Arial"/>
                <w:color w:val="000000"/>
                <w:szCs w:val="16"/>
              </w:rPr>
              <w:t>3.64</w:t>
            </w:r>
          </w:p>
        </w:tc>
        <w:tc>
          <w:tcPr>
            <w:tcW w:w="913" w:type="pct"/>
            <w:noWrap/>
            <w:vAlign w:val="bottom"/>
            <w:hideMark/>
          </w:tcPr>
          <w:p w14:paraId="7FC889CE" w14:textId="16F0DF04" w:rsidR="00131DBD" w:rsidRPr="00AB65CA" w:rsidRDefault="00131DBD" w:rsidP="00131DBD">
            <w:pPr>
              <w:keepNext/>
              <w:tabs>
                <w:tab w:val="decimal" w:pos="946"/>
              </w:tabs>
              <w:rPr>
                <w:rFonts w:cs="Arial"/>
                <w:color w:val="000000"/>
                <w:szCs w:val="16"/>
              </w:rPr>
            </w:pPr>
            <w:r>
              <w:rPr>
                <w:rFonts w:cs="Arial"/>
                <w:color w:val="000000"/>
                <w:szCs w:val="16"/>
              </w:rPr>
              <w:t>40.24</w:t>
            </w:r>
          </w:p>
        </w:tc>
      </w:tr>
      <w:tr w:rsidR="00131DBD" w:rsidRPr="00F83501" w14:paraId="347FD79F" w14:textId="77777777" w:rsidTr="00E415ED">
        <w:tc>
          <w:tcPr>
            <w:tcW w:w="1334" w:type="pct"/>
            <w:noWrap/>
            <w:hideMark/>
          </w:tcPr>
          <w:p w14:paraId="17D8CC8D" w14:textId="77777777" w:rsidR="00131DBD" w:rsidRPr="00B05769" w:rsidRDefault="00131DBD" w:rsidP="00131DBD">
            <w:pPr>
              <w:keepNext/>
              <w:rPr>
                <w:rFonts w:cs="Arial"/>
                <w:b/>
                <w:bCs/>
                <w:szCs w:val="16"/>
              </w:rPr>
            </w:pPr>
            <w:r w:rsidRPr="00B05769">
              <w:rPr>
                <w:rFonts w:cs="Arial"/>
                <w:b/>
                <w:bCs/>
                <w:szCs w:val="16"/>
              </w:rPr>
              <w:t>Outcome C\ Category c</w:t>
            </w:r>
          </w:p>
        </w:tc>
        <w:tc>
          <w:tcPr>
            <w:tcW w:w="914" w:type="pct"/>
            <w:noWrap/>
            <w:vAlign w:val="bottom"/>
            <w:hideMark/>
          </w:tcPr>
          <w:p w14:paraId="732C059A" w14:textId="31A864AF" w:rsidR="00131DBD" w:rsidRPr="00AB65CA" w:rsidRDefault="00131DBD" w:rsidP="00131DBD">
            <w:pPr>
              <w:keepNext/>
              <w:tabs>
                <w:tab w:val="decimal" w:pos="882"/>
              </w:tabs>
              <w:rPr>
                <w:rFonts w:cs="Arial"/>
                <w:color w:val="000000"/>
                <w:szCs w:val="16"/>
              </w:rPr>
            </w:pPr>
            <w:r>
              <w:rPr>
                <w:rFonts w:cs="Arial"/>
                <w:color w:val="000000"/>
                <w:szCs w:val="16"/>
              </w:rPr>
              <w:t>23.99</w:t>
            </w:r>
          </w:p>
        </w:tc>
        <w:tc>
          <w:tcPr>
            <w:tcW w:w="919" w:type="pct"/>
            <w:noWrap/>
            <w:vAlign w:val="bottom"/>
            <w:hideMark/>
          </w:tcPr>
          <w:p w14:paraId="7ADFD09D" w14:textId="242B6B50" w:rsidR="00131DBD" w:rsidRPr="00AB65CA" w:rsidRDefault="00131DBD" w:rsidP="00131DBD">
            <w:pPr>
              <w:keepNext/>
              <w:tabs>
                <w:tab w:val="decimal" w:pos="886"/>
              </w:tabs>
              <w:rPr>
                <w:rFonts w:cs="Arial"/>
                <w:color w:val="000000"/>
                <w:szCs w:val="16"/>
              </w:rPr>
            </w:pPr>
            <w:r>
              <w:rPr>
                <w:rFonts w:cs="Arial"/>
                <w:color w:val="000000"/>
                <w:szCs w:val="16"/>
              </w:rPr>
              <w:t>13.89</w:t>
            </w:r>
          </w:p>
        </w:tc>
        <w:tc>
          <w:tcPr>
            <w:tcW w:w="920" w:type="pct"/>
            <w:noWrap/>
            <w:vAlign w:val="bottom"/>
            <w:hideMark/>
          </w:tcPr>
          <w:p w14:paraId="775317FC" w14:textId="30C09875" w:rsidR="00131DBD" w:rsidRPr="00AB65CA" w:rsidRDefault="00131DBD" w:rsidP="00131DBD">
            <w:pPr>
              <w:keepNext/>
              <w:tabs>
                <w:tab w:val="decimal" w:pos="886"/>
              </w:tabs>
              <w:rPr>
                <w:rFonts w:cs="Arial"/>
                <w:color w:val="000000"/>
                <w:szCs w:val="16"/>
              </w:rPr>
            </w:pPr>
            <w:r>
              <w:rPr>
                <w:rFonts w:cs="Arial"/>
                <w:color w:val="000000"/>
                <w:szCs w:val="16"/>
              </w:rPr>
              <w:t>-3.8</w:t>
            </w:r>
          </w:p>
        </w:tc>
        <w:tc>
          <w:tcPr>
            <w:tcW w:w="913" w:type="pct"/>
            <w:noWrap/>
            <w:vAlign w:val="bottom"/>
            <w:hideMark/>
          </w:tcPr>
          <w:p w14:paraId="49CC0F9D" w14:textId="67A5836A" w:rsidR="00131DBD" w:rsidRPr="00AB65CA" w:rsidRDefault="00131DBD" w:rsidP="00131DBD">
            <w:pPr>
              <w:keepNext/>
              <w:tabs>
                <w:tab w:val="decimal" w:pos="946"/>
              </w:tabs>
              <w:rPr>
                <w:rFonts w:cs="Arial"/>
                <w:color w:val="000000"/>
                <w:szCs w:val="16"/>
              </w:rPr>
            </w:pPr>
            <w:r>
              <w:rPr>
                <w:rFonts w:cs="Arial"/>
                <w:color w:val="000000"/>
                <w:szCs w:val="16"/>
              </w:rPr>
              <w:t>51.77</w:t>
            </w:r>
          </w:p>
        </w:tc>
      </w:tr>
      <w:tr w:rsidR="00131DBD" w:rsidRPr="00F83501" w14:paraId="226F2021" w14:textId="77777777" w:rsidTr="00E415ED">
        <w:tc>
          <w:tcPr>
            <w:tcW w:w="1334" w:type="pct"/>
            <w:noWrap/>
            <w:hideMark/>
          </w:tcPr>
          <w:p w14:paraId="277FC395" w14:textId="77777777" w:rsidR="00131DBD" w:rsidRPr="00B05769" w:rsidRDefault="00131DBD" w:rsidP="00131DBD">
            <w:pPr>
              <w:keepNext/>
              <w:rPr>
                <w:rFonts w:cs="Arial"/>
                <w:b/>
                <w:bCs/>
                <w:szCs w:val="16"/>
              </w:rPr>
            </w:pPr>
            <w:r w:rsidRPr="00B05769">
              <w:rPr>
                <w:rFonts w:cs="Arial"/>
                <w:b/>
                <w:bCs/>
                <w:szCs w:val="16"/>
              </w:rPr>
              <w:t>Outcome C\ Category d</w:t>
            </w:r>
          </w:p>
        </w:tc>
        <w:tc>
          <w:tcPr>
            <w:tcW w:w="914" w:type="pct"/>
            <w:noWrap/>
            <w:vAlign w:val="bottom"/>
            <w:hideMark/>
          </w:tcPr>
          <w:p w14:paraId="6B7EF648" w14:textId="53AF5B37" w:rsidR="00131DBD" w:rsidRPr="00AB65CA" w:rsidRDefault="00131DBD" w:rsidP="00131DBD">
            <w:pPr>
              <w:keepNext/>
              <w:tabs>
                <w:tab w:val="decimal" w:pos="882"/>
              </w:tabs>
              <w:rPr>
                <w:rFonts w:cs="Arial"/>
                <w:color w:val="000000"/>
                <w:szCs w:val="16"/>
              </w:rPr>
            </w:pPr>
            <w:r>
              <w:rPr>
                <w:rFonts w:cs="Arial"/>
                <w:color w:val="000000"/>
                <w:szCs w:val="16"/>
              </w:rPr>
              <w:t>32.49</w:t>
            </w:r>
          </w:p>
        </w:tc>
        <w:tc>
          <w:tcPr>
            <w:tcW w:w="919" w:type="pct"/>
            <w:noWrap/>
            <w:vAlign w:val="bottom"/>
            <w:hideMark/>
          </w:tcPr>
          <w:p w14:paraId="00BB091E" w14:textId="094B216E" w:rsidR="00131DBD" w:rsidRPr="00AB65CA" w:rsidRDefault="00131DBD" w:rsidP="00131DBD">
            <w:pPr>
              <w:keepNext/>
              <w:tabs>
                <w:tab w:val="decimal" w:pos="886"/>
              </w:tabs>
              <w:rPr>
                <w:rFonts w:cs="Arial"/>
                <w:color w:val="000000"/>
                <w:szCs w:val="16"/>
              </w:rPr>
            </w:pPr>
            <w:r>
              <w:rPr>
                <w:rFonts w:cs="Arial"/>
                <w:color w:val="000000"/>
                <w:szCs w:val="16"/>
              </w:rPr>
              <w:t>8.51</w:t>
            </w:r>
          </w:p>
        </w:tc>
        <w:tc>
          <w:tcPr>
            <w:tcW w:w="920" w:type="pct"/>
            <w:noWrap/>
            <w:vAlign w:val="bottom"/>
            <w:hideMark/>
          </w:tcPr>
          <w:p w14:paraId="2259792D" w14:textId="224E2146" w:rsidR="00131DBD" w:rsidRPr="00AB65CA" w:rsidRDefault="00131DBD" w:rsidP="00131DBD">
            <w:pPr>
              <w:keepNext/>
              <w:tabs>
                <w:tab w:val="decimal" w:pos="886"/>
              </w:tabs>
              <w:rPr>
                <w:rFonts w:cs="Arial"/>
                <w:color w:val="000000"/>
                <w:szCs w:val="16"/>
              </w:rPr>
            </w:pPr>
            <w:r>
              <w:rPr>
                <w:rFonts w:cs="Arial"/>
                <w:color w:val="000000"/>
                <w:szCs w:val="16"/>
              </w:rPr>
              <w:t>15.48</w:t>
            </w:r>
          </w:p>
        </w:tc>
        <w:tc>
          <w:tcPr>
            <w:tcW w:w="913" w:type="pct"/>
            <w:noWrap/>
            <w:vAlign w:val="bottom"/>
            <w:hideMark/>
          </w:tcPr>
          <w:p w14:paraId="5D8A6C71" w14:textId="2A5F49A1" w:rsidR="00131DBD" w:rsidRPr="00AB65CA" w:rsidRDefault="00131DBD" w:rsidP="00131DBD">
            <w:pPr>
              <w:keepNext/>
              <w:tabs>
                <w:tab w:val="decimal" w:pos="946"/>
              </w:tabs>
              <w:rPr>
                <w:rFonts w:cs="Arial"/>
                <w:color w:val="000000"/>
                <w:szCs w:val="16"/>
              </w:rPr>
            </w:pPr>
            <w:r>
              <w:rPr>
                <w:rFonts w:cs="Arial"/>
                <w:color w:val="000000"/>
                <w:szCs w:val="16"/>
              </w:rPr>
              <w:t>49.51</w:t>
            </w:r>
          </w:p>
        </w:tc>
      </w:tr>
      <w:tr w:rsidR="00131DBD" w:rsidRPr="00F83501" w14:paraId="5F41BC1C" w14:textId="77777777" w:rsidTr="00E415ED">
        <w:tc>
          <w:tcPr>
            <w:tcW w:w="1334" w:type="pct"/>
            <w:noWrap/>
            <w:hideMark/>
          </w:tcPr>
          <w:p w14:paraId="1C305188" w14:textId="77777777" w:rsidR="00131DBD" w:rsidRPr="00B05769" w:rsidRDefault="00131DBD" w:rsidP="00131DBD">
            <w:pPr>
              <w:rPr>
                <w:rFonts w:cs="Arial"/>
                <w:b/>
                <w:bCs/>
                <w:szCs w:val="16"/>
              </w:rPr>
            </w:pPr>
            <w:r w:rsidRPr="00B05769">
              <w:rPr>
                <w:rFonts w:cs="Arial"/>
                <w:b/>
                <w:bCs/>
                <w:szCs w:val="16"/>
              </w:rPr>
              <w:t>Outcome C\ Category e</w:t>
            </w:r>
          </w:p>
        </w:tc>
        <w:tc>
          <w:tcPr>
            <w:tcW w:w="914" w:type="pct"/>
            <w:noWrap/>
            <w:vAlign w:val="bottom"/>
            <w:hideMark/>
          </w:tcPr>
          <w:p w14:paraId="04B48316" w14:textId="24987F1B" w:rsidR="00131DBD" w:rsidRPr="00AB65CA" w:rsidRDefault="00131DBD" w:rsidP="00131DBD">
            <w:pPr>
              <w:keepNext/>
              <w:tabs>
                <w:tab w:val="decimal" w:pos="882"/>
              </w:tabs>
              <w:rPr>
                <w:rFonts w:cs="Arial"/>
                <w:color w:val="000000"/>
                <w:szCs w:val="16"/>
              </w:rPr>
            </w:pPr>
            <w:r>
              <w:rPr>
                <w:rFonts w:cs="Arial"/>
                <w:color w:val="000000"/>
                <w:szCs w:val="16"/>
              </w:rPr>
              <w:t>20.33</w:t>
            </w:r>
          </w:p>
        </w:tc>
        <w:tc>
          <w:tcPr>
            <w:tcW w:w="919" w:type="pct"/>
            <w:noWrap/>
            <w:vAlign w:val="bottom"/>
            <w:hideMark/>
          </w:tcPr>
          <w:p w14:paraId="1C158AB5" w14:textId="0950EB94" w:rsidR="00131DBD" w:rsidRPr="00AB65CA" w:rsidRDefault="00131DBD" w:rsidP="00131DBD">
            <w:pPr>
              <w:keepNext/>
              <w:tabs>
                <w:tab w:val="decimal" w:pos="886"/>
              </w:tabs>
              <w:rPr>
                <w:rFonts w:cs="Arial"/>
                <w:color w:val="000000"/>
                <w:szCs w:val="16"/>
              </w:rPr>
            </w:pPr>
            <w:r>
              <w:rPr>
                <w:rFonts w:cs="Arial"/>
                <w:color w:val="000000"/>
                <w:szCs w:val="16"/>
              </w:rPr>
              <w:t>14.99</w:t>
            </w:r>
          </w:p>
        </w:tc>
        <w:tc>
          <w:tcPr>
            <w:tcW w:w="920" w:type="pct"/>
            <w:noWrap/>
            <w:vAlign w:val="bottom"/>
            <w:hideMark/>
          </w:tcPr>
          <w:p w14:paraId="0176FF93" w14:textId="006A4C29" w:rsidR="00131DBD" w:rsidRPr="00AB65CA" w:rsidRDefault="00131DBD" w:rsidP="00131DBD">
            <w:pPr>
              <w:keepNext/>
              <w:tabs>
                <w:tab w:val="decimal" w:pos="886"/>
              </w:tabs>
              <w:rPr>
                <w:rFonts w:cs="Arial"/>
                <w:color w:val="000000"/>
                <w:szCs w:val="16"/>
              </w:rPr>
            </w:pPr>
            <w:r>
              <w:rPr>
                <w:rFonts w:cs="Arial"/>
                <w:color w:val="000000"/>
                <w:szCs w:val="16"/>
              </w:rPr>
              <w:t>-9.66</w:t>
            </w:r>
          </w:p>
        </w:tc>
        <w:tc>
          <w:tcPr>
            <w:tcW w:w="913" w:type="pct"/>
            <w:noWrap/>
            <w:vAlign w:val="bottom"/>
            <w:hideMark/>
          </w:tcPr>
          <w:p w14:paraId="4D375842" w14:textId="08F867A3" w:rsidR="00131DBD" w:rsidRPr="00AB65CA" w:rsidRDefault="00131DBD" w:rsidP="00131DBD">
            <w:pPr>
              <w:keepNext/>
              <w:tabs>
                <w:tab w:val="decimal" w:pos="946"/>
              </w:tabs>
              <w:rPr>
                <w:rFonts w:cs="Arial"/>
                <w:color w:val="000000"/>
                <w:szCs w:val="16"/>
              </w:rPr>
            </w:pPr>
            <w:r>
              <w:rPr>
                <w:rFonts w:cs="Arial"/>
                <w:color w:val="000000"/>
                <w:szCs w:val="16"/>
              </w:rPr>
              <w:t>50.31</w:t>
            </w:r>
          </w:p>
        </w:tc>
      </w:tr>
    </w:tbl>
    <w:p w14:paraId="77DA6532" w14:textId="77777777" w:rsidR="00891EAC" w:rsidRPr="00F83501" w:rsidRDefault="00891EAC" w:rsidP="00891EAC">
      <w:pPr>
        <w:spacing w:after="0"/>
      </w:pPr>
    </w:p>
    <w:tbl>
      <w:tblPr>
        <w:tblStyle w:val="TableGrid"/>
        <w:tblW w:w="5010" w:type="pct"/>
        <w:tblLook w:val="04A0" w:firstRow="1" w:lastRow="0" w:firstColumn="1" w:lastColumn="0" w:noHBand="0" w:noVBand="1"/>
        <w:tblCaption w:val="CAPPBANOMSCR"/>
        <w:tblDescription w:val="Data Anomalies Score"/>
      </w:tblPr>
      <w:tblGrid>
        <w:gridCol w:w="3170"/>
        <w:gridCol w:w="7642"/>
      </w:tblGrid>
      <w:tr w:rsidR="00891EAC" w:rsidRPr="00F83501" w14:paraId="35292F17" w14:textId="77777777" w:rsidTr="00891EAC">
        <w:tc>
          <w:tcPr>
            <w:tcW w:w="1466" w:type="pct"/>
            <w:hideMark/>
          </w:tcPr>
          <w:p w14:paraId="10692601" w14:textId="77777777" w:rsidR="00891EAC" w:rsidRPr="00891EAC" w:rsidRDefault="00891EAC">
            <w:pPr>
              <w:keepNext/>
              <w:rPr>
                <w:b/>
                <w:bCs/>
              </w:rPr>
            </w:pPr>
            <w:r w:rsidRPr="00891EAC">
              <w:rPr>
                <w:b/>
                <w:bCs/>
              </w:rPr>
              <w:t>Data Anomalies Score</w:t>
            </w:r>
          </w:p>
        </w:tc>
        <w:tc>
          <w:tcPr>
            <w:tcW w:w="3534" w:type="pct"/>
            <w:hideMark/>
          </w:tcPr>
          <w:p w14:paraId="2CE3AB23" w14:textId="77777777" w:rsidR="00891EAC" w:rsidRPr="00891EAC" w:rsidRDefault="00891EAC">
            <w:pPr>
              <w:keepNext/>
              <w:rPr>
                <w:b/>
                <w:bCs/>
              </w:rPr>
            </w:pPr>
            <w:r w:rsidRPr="00891EAC">
              <w:rPr>
                <w:b/>
                <w:bCs/>
              </w:rPr>
              <w:t>Total Points Received in All Progress Areas</w:t>
            </w:r>
          </w:p>
        </w:tc>
      </w:tr>
      <w:tr w:rsidR="00891EAC" w:rsidRPr="00F83501" w14:paraId="10BCDA77" w14:textId="77777777" w:rsidTr="00891EAC">
        <w:tc>
          <w:tcPr>
            <w:tcW w:w="1466" w:type="pct"/>
            <w:noWrap/>
            <w:hideMark/>
          </w:tcPr>
          <w:p w14:paraId="080042E0" w14:textId="77777777" w:rsidR="00891EAC" w:rsidRPr="00F83501" w:rsidRDefault="00891EAC">
            <w:pPr>
              <w:keepNext/>
              <w:jc w:val="center"/>
            </w:pPr>
            <w:r w:rsidRPr="00F83501">
              <w:t>0</w:t>
            </w:r>
          </w:p>
        </w:tc>
        <w:tc>
          <w:tcPr>
            <w:tcW w:w="3534" w:type="pct"/>
            <w:noWrap/>
            <w:hideMark/>
          </w:tcPr>
          <w:p w14:paraId="0D1243B9" w14:textId="77777777" w:rsidR="00891EAC" w:rsidRPr="00F83501" w:rsidRDefault="00891EAC">
            <w:pPr>
              <w:keepNext/>
            </w:pPr>
            <w:r w:rsidRPr="00F83501">
              <w:t>0 through 9 points</w:t>
            </w:r>
          </w:p>
        </w:tc>
      </w:tr>
      <w:tr w:rsidR="00891EAC" w:rsidRPr="00F83501" w14:paraId="0A9A03AA" w14:textId="77777777" w:rsidTr="00891EAC">
        <w:tc>
          <w:tcPr>
            <w:tcW w:w="1466" w:type="pct"/>
            <w:noWrap/>
            <w:hideMark/>
          </w:tcPr>
          <w:p w14:paraId="3815BAEF" w14:textId="77777777" w:rsidR="00891EAC" w:rsidRPr="00F83501" w:rsidRDefault="00891EAC">
            <w:pPr>
              <w:keepNext/>
              <w:jc w:val="center"/>
            </w:pPr>
            <w:r w:rsidRPr="00F83501">
              <w:t>1</w:t>
            </w:r>
          </w:p>
        </w:tc>
        <w:tc>
          <w:tcPr>
            <w:tcW w:w="3534" w:type="pct"/>
            <w:noWrap/>
            <w:hideMark/>
          </w:tcPr>
          <w:p w14:paraId="34B1230A" w14:textId="77777777" w:rsidR="00891EAC" w:rsidRPr="00F83501" w:rsidRDefault="00891EAC">
            <w:pPr>
              <w:keepNext/>
            </w:pPr>
            <w:r w:rsidRPr="00F83501">
              <w:t>10 through 12 points</w:t>
            </w:r>
          </w:p>
        </w:tc>
      </w:tr>
      <w:tr w:rsidR="00891EAC" w:rsidRPr="007F5570" w14:paraId="73CF834A" w14:textId="77777777" w:rsidTr="00891EAC">
        <w:tc>
          <w:tcPr>
            <w:tcW w:w="1466" w:type="pct"/>
            <w:noWrap/>
            <w:hideMark/>
          </w:tcPr>
          <w:p w14:paraId="518B39BE" w14:textId="77777777" w:rsidR="00891EAC" w:rsidRPr="00F83501" w:rsidRDefault="00891EAC">
            <w:pPr>
              <w:jc w:val="center"/>
            </w:pPr>
            <w:r w:rsidRPr="00F83501">
              <w:t>2</w:t>
            </w:r>
          </w:p>
        </w:tc>
        <w:tc>
          <w:tcPr>
            <w:tcW w:w="3534" w:type="pct"/>
            <w:noWrap/>
            <w:hideMark/>
          </w:tcPr>
          <w:p w14:paraId="65331593" w14:textId="77777777" w:rsidR="00891EAC" w:rsidRPr="007F5570" w:rsidRDefault="00891EAC">
            <w:r w:rsidRPr="00F83501">
              <w:t>13 through 15 points</w:t>
            </w:r>
          </w:p>
        </w:tc>
      </w:tr>
    </w:tbl>
    <w:p w14:paraId="18CA1F90" w14:textId="77777777" w:rsidR="00A67CEE" w:rsidRDefault="00A67CEE" w:rsidP="00B25161">
      <w:pPr>
        <w:rPr>
          <w:rFonts w:cs="Arial"/>
          <w:b/>
          <w:szCs w:val="16"/>
        </w:rPr>
      </w:pPr>
    </w:p>
    <w:p w14:paraId="5ED22CA3" w14:textId="5EAF7221" w:rsidR="00AA07A0" w:rsidRDefault="00AA07A0">
      <w:pPr>
        <w:spacing w:before="0" w:after="200" w:line="276" w:lineRule="auto"/>
        <w:rPr>
          <w:rFonts w:cs="Arial"/>
          <w:b/>
          <w:bCs/>
          <w:szCs w:val="16"/>
        </w:rPr>
      </w:pPr>
      <w:r>
        <w:rPr>
          <w:rFonts w:cs="Arial"/>
          <w:b/>
          <w:bCs/>
          <w:szCs w:val="16"/>
        </w:rPr>
        <w:br w:type="page"/>
      </w:r>
    </w:p>
    <w:p w14:paraId="0BBA3678" w14:textId="77777777" w:rsidR="00A67CEE" w:rsidRDefault="00A67CEE" w:rsidP="00B25161">
      <w:pPr>
        <w:rPr>
          <w:rFonts w:cs="Arial"/>
          <w:b/>
          <w:bCs/>
          <w:szCs w:val="16"/>
        </w:rPr>
      </w:pPr>
    </w:p>
    <w:p w14:paraId="72935D2D" w14:textId="3CAC882C" w:rsidR="00B25161" w:rsidRPr="00B25161" w:rsidRDefault="00B25161" w:rsidP="00B25161">
      <w:pPr>
        <w:rPr>
          <w:rFonts w:cs="Arial"/>
          <w:b/>
          <w:bCs/>
          <w:szCs w:val="16"/>
        </w:rPr>
      </w:pPr>
      <w:r w:rsidRPr="00B25161">
        <w:rPr>
          <w:rFonts w:cs="Arial"/>
          <w:b/>
          <w:bCs/>
          <w:szCs w:val="16"/>
        </w:rPr>
        <w:t>Anomalies in Your State’s Outcomes Data FFY 2023</w:t>
      </w:r>
    </w:p>
    <w:tbl>
      <w:tblPr>
        <w:tblStyle w:val="TableGrid1"/>
        <w:tblW w:w="10800" w:type="dxa"/>
        <w:tblLook w:val="04A0" w:firstRow="1" w:lastRow="0" w:firstColumn="1" w:lastColumn="0" w:noHBand="0" w:noVBand="1"/>
        <w:tblCaption w:val="C03ANOMOTC"/>
      </w:tblPr>
      <w:tblGrid>
        <w:gridCol w:w="5400"/>
        <w:gridCol w:w="5400"/>
      </w:tblGrid>
      <w:tr w:rsidR="00B25161" w:rsidRPr="00B25161" w14:paraId="09BD0AD1" w14:textId="77777777" w:rsidTr="00B25161">
        <w:tc>
          <w:tcPr>
            <w:tcW w:w="5400" w:type="dxa"/>
          </w:tcPr>
          <w:p w14:paraId="1A6A6C94" w14:textId="77777777" w:rsidR="00B25161" w:rsidRPr="00B25161" w:rsidRDefault="00B25161" w:rsidP="00B25161">
            <w:pPr>
              <w:rPr>
                <w:rFonts w:cs="Arial"/>
                <w:b/>
                <w:szCs w:val="16"/>
              </w:rPr>
            </w:pPr>
            <w:r w:rsidRPr="00B25161">
              <w:rPr>
                <w:rFonts w:cs="Arial"/>
                <w:b/>
                <w:szCs w:val="16"/>
              </w:rPr>
              <w:t>Number of Infants and Toddlers with IFSP’s Assessed in your State</w:t>
            </w:r>
          </w:p>
        </w:tc>
        <w:tc>
          <w:tcPr>
            <w:tcW w:w="5400" w:type="dxa"/>
          </w:tcPr>
          <w:p w14:paraId="7FD42C86" w14:textId="77777777" w:rsidR="00B25161" w:rsidRPr="00B25161" w:rsidRDefault="00B25161" w:rsidP="00B25161">
            <w:pPr>
              <w:rPr>
                <w:rFonts w:cs="Arial"/>
                <w:b/>
                <w:szCs w:val="16"/>
              </w:rPr>
            </w:pPr>
            <w:r w:rsidRPr="00B25161">
              <w:rPr>
                <w:rFonts w:cs="Arial"/>
                <w:b/>
                <w:szCs w:val="16"/>
              </w:rPr>
              <w:t>2,935</w:t>
            </w:r>
          </w:p>
        </w:tc>
      </w:tr>
    </w:tbl>
    <w:p w14:paraId="3454AA66" w14:textId="77777777" w:rsidR="00B25161" w:rsidRPr="00B25161" w:rsidRDefault="00B25161" w:rsidP="00B25161">
      <w:pPr>
        <w:rPr>
          <w:rFonts w:cs="Arial"/>
          <w:b/>
          <w:szCs w:val="16"/>
        </w:rPr>
      </w:pPr>
    </w:p>
    <w:tbl>
      <w:tblPr>
        <w:tblStyle w:val="TableGrid1"/>
        <w:tblW w:w="5013" w:type="pct"/>
        <w:tblLayout w:type="fixed"/>
        <w:tblLook w:val="04A0" w:firstRow="1" w:lastRow="0" w:firstColumn="1" w:lastColumn="0" w:noHBand="0" w:noVBand="1"/>
        <w:tblCaption w:val="C03OTCASTAT"/>
      </w:tblPr>
      <w:tblGrid>
        <w:gridCol w:w="1803"/>
        <w:gridCol w:w="1802"/>
        <w:gridCol w:w="1802"/>
        <w:gridCol w:w="1802"/>
        <w:gridCol w:w="1802"/>
        <w:gridCol w:w="1807"/>
      </w:tblGrid>
      <w:tr w:rsidR="00B25161" w:rsidRPr="00B25161" w14:paraId="317DB6C8" w14:textId="77777777" w:rsidTr="004A2E39">
        <w:trPr>
          <w:tblHeader/>
        </w:trPr>
        <w:tc>
          <w:tcPr>
            <w:tcW w:w="833" w:type="pct"/>
          </w:tcPr>
          <w:p w14:paraId="2F19E6EB" w14:textId="77777777" w:rsidR="00B25161" w:rsidRPr="00B25161" w:rsidRDefault="00B25161" w:rsidP="00B25161">
            <w:pPr>
              <w:rPr>
                <w:rFonts w:cs="Arial"/>
                <w:b/>
                <w:szCs w:val="16"/>
              </w:rPr>
            </w:pPr>
            <w:r w:rsidRPr="00B25161">
              <w:rPr>
                <w:rFonts w:cs="Arial"/>
                <w:b/>
                <w:szCs w:val="16"/>
              </w:rPr>
              <w:t>Outcome A — Positive Social Relationships</w:t>
            </w:r>
          </w:p>
        </w:tc>
        <w:tc>
          <w:tcPr>
            <w:tcW w:w="833" w:type="pct"/>
          </w:tcPr>
          <w:p w14:paraId="0FBC9360" w14:textId="77777777" w:rsidR="00B25161" w:rsidRPr="00B25161" w:rsidRDefault="00B25161" w:rsidP="00B25161">
            <w:pPr>
              <w:rPr>
                <w:rFonts w:cs="Arial"/>
                <w:b/>
                <w:szCs w:val="16"/>
              </w:rPr>
            </w:pPr>
            <w:r w:rsidRPr="00B25161">
              <w:rPr>
                <w:rFonts w:cs="Arial"/>
                <w:b/>
                <w:szCs w:val="16"/>
              </w:rPr>
              <w:t>Category a</w:t>
            </w:r>
          </w:p>
        </w:tc>
        <w:tc>
          <w:tcPr>
            <w:tcW w:w="833" w:type="pct"/>
          </w:tcPr>
          <w:p w14:paraId="506E80B9" w14:textId="77777777" w:rsidR="00B25161" w:rsidRPr="00B25161" w:rsidRDefault="00B25161" w:rsidP="00B25161">
            <w:pPr>
              <w:rPr>
                <w:rFonts w:cs="Arial"/>
                <w:b/>
                <w:szCs w:val="16"/>
              </w:rPr>
            </w:pPr>
            <w:r w:rsidRPr="00B25161">
              <w:rPr>
                <w:rFonts w:cs="Arial"/>
                <w:b/>
                <w:szCs w:val="16"/>
              </w:rPr>
              <w:t>Category b</w:t>
            </w:r>
          </w:p>
        </w:tc>
        <w:tc>
          <w:tcPr>
            <w:tcW w:w="833" w:type="pct"/>
          </w:tcPr>
          <w:p w14:paraId="3A4D118C" w14:textId="77777777" w:rsidR="00B25161" w:rsidRPr="00B25161" w:rsidRDefault="00B25161" w:rsidP="00B25161">
            <w:pPr>
              <w:rPr>
                <w:rFonts w:cs="Arial"/>
                <w:b/>
                <w:szCs w:val="16"/>
              </w:rPr>
            </w:pPr>
            <w:r w:rsidRPr="00B25161">
              <w:rPr>
                <w:rFonts w:cs="Arial"/>
                <w:b/>
                <w:szCs w:val="16"/>
              </w:rPr>
              <w:t>Category c</w:t>
            </w:r>
          </w:p>
        </w:tc>
        <w:tc>
          <w:tcPr>
            <w:tcW w:w="833" w:type="pct"/>
          </w:tcPr>
          <w:p w14:paraId="39A7079E" w14:textId="77777777" w:rsidR="00B25161" w:rsidRPr="00B25161" w:rsidRDefault="00B25161" w:rsidP="00B25161">
            <w:pPr>
              <w:rPr>
                <w:rFonts w:cs="Arial"/>
                <w:b/>
                <w:szCs w:val="16"/>
              </w:rPr>
            </w:pPr>
            <w:r w:rsidRPr="00B25161">
              <w:rPr>
                <w:rFonts w:cs="Arial"/>
                <w:b/>
                <w:szCs w:val="16"/>
              </w:rPr>
              <w:t>Category d</w:t>
            </w:r>
          </w:p>
        </w:tc>
        <w:tc>
          <w:tcPr>
            <w:tcW w:w="835" w:type="pct"/>
          </w:tcPr>
          <w:p w14:paraId="57DC177B" w14:textId="77777777" w:rsidR="00B25161" w:rsidRPr="00B25161" w:rsidRDefault="00B25161" w:rsidP="00B25161">
            <w:pPr>
              <w:rPr>
                <w:rFonts w:cs="Arial"/>
                <w:b/>
                <w:szCs w:val="16"/>
              </w:rPr>
            </w:pPr>
            <w:r w:rsidRPr="00B25161">
              <w:rPr>
                <w:rFonts w:cs="Arial"/>
                <w:b/>
                <w:szCs w:val="16"/>
              </w:rPr>
              <w:t>Category e</w:t>
            </w:r>
          </w:p>
        </w:tc>
      </w:tr>
      <w:tr w:rsidR="00B25161" w:rsidRPr="00B25161" w14:paraId="42746A82" w14:textId="77777777" w:rsidTr="00B25161">
        <w:tc>
          <w:tcPr>
            <w:tcW w:w="833" w:type="pct"/>
          </w:tcPr>
          <w:p w14:paraId="3ED9DC1D"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46DE2CFC" w14:textId="77777777" w:rsidR="00B25161" w:rsidRPr="00E0465B" w:rsidRDefault="00B25161" w:rsidP="00B25161">
            <w:pPr>
              <w:rPr>
                <w:rFonts w:cs="Arial"/>
                <w:bCs/>
                <w:szCs w:val="16"/>
              </w:rPr>
            </w:pPr>
            <w:r w:rsidRPr="00E0465B">
              <w:rPr>
                <w:rFonts w:cs="Arial"/>
                <w:bCs/>
                <w:szCs w:val="16"/>
              </w:rPr>
              <w:t>76</w:t>
            </w:r>
          </w:p>
        </w:tc>
        <w:tc>
          <w:tcPr>
            <w:tcW w:w="833" w:type="pct"/>
          </w:tcPr>
          <w:p w14:paraId="5470A154" w14:textId="77777777" w:rsidR="00B25161" w:rsidRPr="00E0465B" w:rsidRDefault="00B25161" w:rsidP="00B25161">
            <w:pPr>
              <w:rPr>
                <w:rFonts w:cs="Arial"/>
                <w:bCs/>
                <w:szCs w:val="16"/>
              </w:rPr>
            </w:pPr>
            <w:r w:rsidRPr="00E0465B">
              <w:rPr>
                <w:rFonts w:cs="Arial"/>
                <w:bCs/>
                <w:szCs w:val="16"/>
              </w:rPr>
              <w:t>764</w:t>
            </w:r>
          </w:p>
        </w:tc>
        <w:tc>
          <w:tcPr>
            <w:tcW w:w="833" w:type="pct"/>
          </w:tcPr>
          <w:p w14:paraId="7FE9EEED" w14:textId="77777777" w:rsidR="00B25161" w:rsidRPr="00E0465B" w:rsidRDefault="00B25161" w:rsidP="00B25161">
            <w:pPr>
              <w:rPr>
                <w:rFonts w:cs="Arial"/>
                <w:bCs/>
                <w:szCs w:val="16"/>
              </w:rPr>
            </w:pPr>
            <w:r w:rsidRPr="00E0465B">
              <w:rPr>
                <w:rFonts w:cs="Arial"/>
                <w:bCs/>
                <w:szCs w:val="16"/>
              </w:rPr>
              <w:t>175</w:t>
            </w:r>
          </w:p>
        </w:tc>
        <w:tc>
          <w:tcPr>
            <w:tcW w:w="833" w:type="pct"/>
          </w:tcPr>
          <w:p w14:paraId="4C7FEB04" w14:textId="77777777" w:rsidR="00B25161" w:rsidRPr="00E0465B" w:rsidRDefault="00B25161" w:rsidP="00B25161">
            <w:pPr>
              <w:rPr>
                <w:rFonts w:cs="Arial"/>
                <w:bCs/>
                <w:szCs w:val="16"/>
              </w:rPr>
            </w:pPr>
            <w:r w:rsidRPr="00E0465B">
              <w:rPr>
                <w:rFonts w:cs="Arial"/>
                <w:bCs/>
                <w:szCs w:val="16"/>
              </w:rPr>
              <w:t>387</w:t>
            </w:r>
          </w:p>
        </w:tc>
        <w:tc>
          <w:tcPr>
            <w:tcW w:w="835" w:type="pct"/>
          </w:tcPr>
          <w:p w14:paraId="6267C81A" w14:textId="77777777" w:rsidR="00B25161" w:rsidRPr="00E0465B" w:rsidRDefault="00B25161" w:rsidP="00B25161">
            <w:pPr>
              <w:rPr>
                <w:rFonts w:cs="Arial"/>
                <w:bCs/>
                <w:szCs w:val="16"/>
              </w:rPr>
            </w:pPr>
            <w:r w:rsidRPr="00E0465B">
              <w:rPr>
                <w:rFonts w:cs="Arial"/>
                <w:bCs/>
                <w:szCs w:val="16"/>
              </w:rPr>
              <w:t>1,533</w:t>
            </w:r>
          </w:p>
        </w:tc>
      </w:tr>
      <w:tr w:rsidR="00B25161" w:rsidRPr="00B25161" w14:paraId="2DCA894B" w14:textId="77777777" w:rsidTr="00B25161">
        <w:tc>
          <w:tcPr>
            <w:tcW w:w="833" w:type="pct"/>
          </w:tcPr>
          <w:p w14:paraId="0726C7A2" w14:textId="77777777" w:rsidR="00B25161" w:rsidRPr="00B25161" w:rsidRDefault="00B25161" w:rsidP="00B25161">
            <w:pPr>
              <w:rPr>
                <w:rFonts w:cs="Arial"/>
                <w:b/>
                <w:szCs w:val="16"/>
              </w:rPr>
            </w:pPr>
            <w:r w:rsidRPr="00B25161">
              <w:rPr>
                <w:rFonts w:cs="Arial"/>
                <w:b/>
                <w:szCs w:val="16"/>
              </w:rPr>
              <w:t>Performance (%)</w:t>
            </w:r>
          </w:p>
        </w:tc>
        <w:tc>
          <w:tcPr>
            <w:tcW w:w="833" w:type="pct"/>
          </w:tcPr>
          <w:p w14:paraId="75C5537C" w14:textId="0A2FA0E7" w:rsidR="00B25161" w:rsidRPr="00E0465B" w:rsidRDefault="00B25161" w:rsidP="00B25161">
            <w:pPr>
              <w:rPr>
                <w:rFonts w:cs="Arial"/>
                <w:bCs/>
                <w:szCs w:val="16"/>
              </w:rPr>
            </w:pPr>
            <w:r w:rsidRPr="00E0465B">
              <w:rPr>
                <w:rFonts w:cs="Arial"/>
                <w:bCs/>
                <w:szCs w:val="16"/>
              </w:rPr>
              <w:t>2.59%</w:t>
            </w:r>
          </w:p>
        </w:tc>
        <w:tc>
          <w:tcPr>
            <w:tcW w:w="833" w:type="pct"/>
          </w:tcPr>
          <w:p w14:paraId="2E20C0BF" w14:textId="0AF39490" w:rsidR="00B25161" w:rsidRPr="00E0465B" w:rsidRDefault="00B25161" w:rsidP="00B25161">
            <w:pPr>
              <w:rPr>
                <w:rFonts w:cs="Arial"/>
                <w:bCs/>
                <w:szCs w:val="16"/>
              </w:rPr>
            </w:pPr>
            <w:r w:rsidRPr="00E0465B">
              <w:rPr>
                <w:rFonts w:cs="Arial"/>
                <w:bCs/>
                <w:szCs w:val="16"/>
              </w:rPr>
              <w:t>26.03%</w:t>
            </w:r>
          </w:p>
        </w:tc>
        <w:tc>
          <w:tcPr>
            <w:tcW w:w="833" w:type="pct"/>
          </w:tcPr>
          <w:p w14:paraId="398F2D3D" w14:textId="68B45EA5" w:rsidR="00B25161" w:rsidRPr="00E0465B" w:rsidRDefault="00B25161" w:rsidP="00B25161">
            <w:pPr>
              <w:rPr>
                <w:rFonts w:cs="Arial"/>
                <w:bCs/>
                <w:szCs w:val="16"/>
              </w:rPr>
            </w:pPr>
            <w:r w:rsidRPr="00E0465B">
              <w:rPr>
                <w:rFonts w:cs="Arial"/>
                <w:bCs/>
                <w:szCs w:val="16"/>
              </w:rPr>
              <w:t>5.96%</w:t>
            </w:r>
          </w:p>
        </w:tc>
        <w:tc>
          <w:tcPr>
            <w:tcW w:w="833" w:type="pct"/>
          </w:tcPr>
          <w:p w14:paraId="44C74C6F" w14:textId="0FC8FB40" w:rsidR="00B25161" w:rsidRPr="00E0465B" w:rsidRDefault="00B25161" w:rsidP="00B25161">
            <w:pPr>
              <w:rPr>
                <w:rFonts w:cs="Arial"/>
                <w:bCs/>
                <w:szCs w:val="16"/>
              </w:rPr>
            </w:pPr>
            <w:r w:rsidRPr="00E0465B">
              <w:rPr>
                <w:rFonts w:cs="Arial"/>
                <w:bCs/>
                <w:szCs w:val="16"/>
              </w:rPr>
              <w:t>13.19%</w:t>
            </w:r>
          </w:p>
        </w:tc>
        <w:tc>
          <w:tcPr>
            <w:tcW w:w="835" w:type="pct"/>
          </w:tcPr>
          <w:p w14:paraId="2CCC1EE9" w14:textId="4C738514" w:rsidR="00B25161" w:rsidRPr="00E0465B" w:rsidRDefault="00B25161" w:rsidP="00B25161">
            <w:pPr>
              <w:rPr>
                <w:rFonts w:cs="Arial"/>
                <w:bCs/>
                <w:szCs w:val="16"/>
              </w:rPr>
            </w:pPr>
            <w:r w:rsidRPr="00E0465B">
              <w:rPr>
                <w:rFonts w:cs="Arial"/>
                <w:bCs/>
                <w:szCs w:val="16"/>
              </w:rPr>
              <w:t>52.23%</w:t>
            </w:r>
          </w:p>
        </w:tc>
      </w:tr>
      <w:tr w:rsidR="00B25161" w:rsidRPr="00B25161" w14:paraId="5C0C30A4" w14:textId="77777777" w:rsidTr="00B25161">
        <w:tc>
          <w:tcPr>
            <w:tcW w:w="833" w:type="pct"/>
          </w:tcPr>
          <w:p w14:paraId="4E01C202" w14:textId="77777777" w:rsidR="00B25161" w:rsidRPr="00B25161" w:rsidRDefault="00B25161" w:rsidP="00B25161">
            <w:pPr>
              <w:rPr>
                <w:rFonts w:cs="Arial"/>
                <w:b/>
                <w:szCs w:val="16"/>
              </w:rPr>
            </w:pPr>
            <w:r w:rsidRPr="00B25161">
              <w:rPr>
                <w:rFonts w:cs="Arial"/>
                <w:b/>
                <w:szCs w:val="16"/>
              </w:rPr>
              <w:t>Scores</w:t>
            </w:r>
          </w:p>
        </w:tc>
        <w:tc>
          <w:tcPr>
            <w:tcW w:w="833" w:type="pct"/>
          </w:tcPr>
          <w:p w14:paraId="347CB6AC" w14:textId="77777777" w:rsidR="00B25161" w:rsidRPr="00E0465B" w:rsidRDefault="00B25161" w:rsidP="00B25161">
            <w:pPr>
              <w:rPr>
                <w:rFonts w:cs="Arial"/>
                <w:bCs/>
                <w:szCs w:val="16"/>
              </w:rPr>
            </w:pPr>
            <w:r w:rsidRPr="00E0465B">
              <w:rPr>
                <w:rFonts w:cs="Arial"/>
                <w:bCs/>
                <w:szCs w:val="16"/>
              </w:rPr>
              <w:t>1</w:t>
            </w:r>
          </w:p>
        </w:tc>
        <w:tc>
          <w:tcPr>
            <w:tcW w:w="833" w:type="pct"/>
          </w:tcPr>
          <w:p w14:paraId="2F78A633" w14:textId="77777777" w:rsidR="00B25161" w:rsidRPr="00E0465B" w:rsidRDefault="00B25161" w:rsidP="00B25161">
            <w:pPr>
              <w:rPr>
                <w:rFonts w:cs="Arial"/>
                <w:bCs/>
                <w:szCs w:val="16"/>
              </w:rPr>
            </w:pPr>
            <w:r w:rsidRPr="00E0465B">
              <w:rPr>
                <w:rFonts w:cs="Arial"/>
                <w:bCs/>
                <w:szCs w:val="16"/>
              </w:rPr>
              <w:t>1</w:t>
            </w:r>
          </w:p>
        </w:tc>
        <w:tc>
          <w:tcPr>
            <w:tcW w:w="833" w:type="pct"/>
          </w:tcPr>
          <w:p w14:paraId="428CB178" w14:textId="77777777" w:rsidR="00B25161" w:rsidRPr="00E0465B" w:rsidRDefault="00B25161" w:rsidP="00B25161">
            <w:pPr>
              <w:rPr>
                <w:rFonts w:cs="Arial"/>
                <w:bCs/>
                <w:szCs w:val="16"/>
              </w:rPr>
            </w:pPr>
            <w:r w:rsidRPr="00E0465B">
              <w:rPr>
                <w:rFonts w:cs="Arial"/>
                <w:bCs/>
                <w:szCs w:val="16"/>
              </w:rPr>
              <w:t>1</w:t>
            </w:r>
          </w:p>
        </w:tc>
        <w:tc>
          <w:tcPr>
            <w:tcW w:w="833" w:type="pct"/>
          </w:tcPr>
          <w:p w14:paraId="2A811240" w14:textId="77777777" w:rsidR="00B25161" w:rsidRPr="00E0465B" w:rsidRDefault="00B25161" w:rsidP="00B25161">
            <w:pPr>
              <w:rPr>
                <w:rFonts w:cs="Arial"/>
                <w:bCs/>
                <w:szCs w:val="16"/>
              </w:rPr>
            </w:pPr>
            <w:r w:rsidRPr="00E0465B">
              <w:rPr>
                <w:rFonts w:cs="Arial"/>
                <w:bCs/>
                <w:szCs w:val="16"/>
              </w:rPr>
              <w:t>1</w:t>
            </w:r>
          </w:p>
        </w:tc>
        <w:tc>
          <w:tcPr>
            <w:tcW w:w="835" w:type="pct"/>
          </w:tcPr>
          <w:p w14:paraId="34A5E9EE" w14:textId="77777777" w:rsidR="00B25161" w:rsidRPr="00E0465B" w:rsidRDefault="00B25161" w:rsidP="00B25161">
            <w:pPr>
              <w:rPr>
                <w:rFonts w:cs="Arial"/>
                <w:bCs/>
                <w:szCs w:val="16"/>
              </w:rPr>
            </w:pPr>
            <w:r w:rsidRPr="00E0465B">
              <w:rPr>
                <w:rFonts w:cs="Arial"/>
                <w:bCs/>
                <w:szCs w:val="16"/>
              </w:rPr>
              <w:t>1</w:t>
            </w:r>
          </w:p>
        </w:tc>
      </w:tr>
    </w:tbl>
    <w:p w14:paraId="5AB2F3F8" w14:textId="77777777" w:rsidR="00B25161" w:rsidRPr="00B25161" w:rsidRDefault="00B25161" w:rsidP="00B25161">
      <w:pPr>
        <w:rPr>
          <w:rFonts w:cs="Arial"/>
          <w:b/>
          <w:szCs w:val="16"/>
        </w:rPr>
      </w:pPr>
    </w:p>
    <w:tbl>
      <w:tblPr>
        <w:tblStyle w:val="TableGrid1"/>
        <w:tblW w:w="5008" w:type="pct"/>
        <w:tblLayout w:type="fixed"/>
        <w:tblLook w:val="04A0" w:firstRow="1" w:lastRow="0" w:firstColumn="1" w:lastColumn="0" w:noHBand="0" w:noVBand="1"/>
        <w:tblCaption w:val="C03OTCBSTAT"/>
      </w:tblPr>
      <w:tblGrid>
        <w:gridCol w:w="1804"/>
        <w:gridCol w:w="1801"/>
        <w:gridCol w:w="1801"/>
        <w:gridCol w:w="1801"/>
        <w:gridCol w:w="1800"/>
        <w:gridCol w:w="1800"/>
      </w:tblGrid>
      <w:tr w:rsidR="00B25161" w:rsidRPr="00B25161" w14:paraId="16DEAE31" w14:textId="77777777" w:rsidTr="004A2E39">
        <w:trPr>
          <w:tblHeader/>
        </w:trPr>
        <w:tc>
          <w:tcPr>
            <w:tcW w:w="834" w:type="pct"/>
          </w:tcPr>
          <w:p w14:paraId="1E465C9E" w14:textId="77777777" w:rsidR="00B25161" w:rsidRPr="00B25161" w:rsidRDefault="00B25161" w:rsidP="00B25161">
            <w:pPr>
              <w:rPr>
                <w:rFonts w:cs="Arial"/>
                <w:b/>
                <w:szCs w:val="16"/>
              </w:rPr>
            </w:pPr>
            <w:r w:rsidRPr="00B25161">
              <w:rPr>
                <w:rFonts w:cs="Arial"/>
                <w:b/>
                <w:szCs w:val="16"/>
              </w:rPr>
              <w:t>Outcome B — Knowledge and Skills</w:t>
            </w:r>
          </w:p>
        </w:tc>
        <w:tc>
          <w:tcPr>
            <w:tcW w:w="833" w:type="pct"/>
          </w:tcPr>
          <w:p w14:paraId="0C5BE5FB" w14:textId="77777777" w:rsidR="00B25161" w:rsidRPr="00B25161" w:rsidRDefault="00B25161" w:rsidP="00B25161">
            <w:pPr>
              <w:rPr>
                <w:rFonts w:cs="Arial"/>
                <w:b/>
                <w:szCs w:val="16"/>
              </w:rPr>
            </w:pPr>
            <w:r w:rsidRPr="00B25161">
              <w:rPr>
                <w:rFonts w:cs="Arial"/>
                <w:b/>
                <w:szCs w:val="16"/>
              </w:rPr>
              <w:t>Category a</w:t>
            </w:r>
          </w:p>
        </w:tc>
        <w:tc>
          <w:tcPr>
            <w:tcW w:w="833" w:type="pct"/>
          </w:tcPr>
          <w:p w14:paraId="3C9273B9" w14:textId="77777777" w:rsidR="00B25161" w:rsidRPr="00B25161" w:rsidRDefault="00B25161" w:rsidP="00B25161">
            <w:pPr>
              <w:rPr>
                <w:rFonts w:cs="Arial"/>
                <w:b/>
                <w:szCs w:val="16"/>
              </w:rPr>
            </w:pPr>
            <w:r w:rsidRPr="00B25161">
              <w:rPr>
                <w:rFonts w:cs="Arial"/>
                <w:b/>
                <w:szCs w:val="16"/>
              </w:rPr>
              <w:t>Category b</w:t>
            </w:r>
          </w:p>
        </w:tc>
        <w:tc>
          <w:tcPr>
            <w:tcW w:w="833" w:type="pct"/>
          </w:tcPr>
          <w:p w14:paraId="596E5A1F" w14:textId="77777777" w:rsidR="00B25161" w:rsidRPr="00B25161" w:rsidRDefault="00B25161" w:rsidP="00B25161">
            <w:pPr>
              <w:rPr>
                <w:rFonts w:cs="Arial"/>
                <w:b/>
                <w:szCs w:val="16"/>
              </w:rPr>
            </w:pPr>
            <w:r w:rsidRPr="00B25161">
              <w:rPr>
                <w:rFonts w:cs="Arial"/>
                <w:b/>
                <w:szCs w:val="16"/>
              </w:rPr>
              <w:t>Category c</w:t>
            </w:r>
          </w:p>
        </w:tc>
        <w:tc>
          <w:tcPr>
            <w:tcW w:w="833" w:type="pct"/>
          </w:tcPr>
          <w:p w14:paraId="79842FE6" w14:textId="77777777" w:rsidR="00B25161" w:rsidRPr="00B25161" w:rsidRDefault="00B25161" w:rsidP="00B25161">
            <w:pPr>
              <w:rPr>
                <w:rFonts w:cs="Arial"/>
                <w:b/>
                <w:szCs w:val="16"/>
              </w:rPr>
            </w:pPr>
            <w:r w:rsidRPr="00B25161">
              <w:rPr>
                <w:rFonts w:cs="Arial"/>
                <w:b/>
                <w:szCs w:val="16"/>
              </w:rPr>
              <w:t>Category d</w:t>
            </w:r>
          </w:p>
        </w:tc>
        <w:tc>
          <w:tcPr>
            <w:tcW w:w="833" w:type="pct"/>
          </w:tcPr>
          <w:p w14:paraId="5F2E862F" w14:textId="77777777" w:rsidR="00B25161" w:rsidRPr="00B25161" w:rsidRDefault="00B25161" w:rsidP="00B25161">
            <w:pPr>
              <w:rPr>
                <w:rFonts w:cs="Arial"/>
                <w:b/>
                <w:szCs w:val="16"/>
              </w:rPr>
            </w:pPr>
            <w:r w:rsidRPr="00B25161">
              <w:rPr>
                <w:rFonts w:cs="Arial"/>
                <w:b/>
                <w:szCs w:val="16"/>
              </w:rPr>
              <w:t>Category e</w:t>
            </w:r>
          </w:p>
        </w:tc>
      </w:tr>
      <w:tr w:rsidR="00B25161" w:rsidRPr="00B25161" w14:paraId="197327FC" w14:textId="77777777" w:rsidTr="00B25161">
        <w:tc>
          <w:tcPr>
            <w:tcW w:w="834" w:type="pct"/>
          </w:tcPr>
          <w:p w14:paraId="77CD3D9A"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17C138CE" w14:textId="77777777" w:rsidR="00B25161" w:rsidRPr="00E0465B" w:rsidRDefault="00B25161" w:rsidP="00B25161">
            <w:pPr>
              <w:rPr>
                <w:rFonts w:cs="Arial"/>
                <w:bCs/>
                <w:szCs w:val="16"/>
              </w:rPr>
            </w:pPr>
            <w:r w:rsidRPr="00E0465B">
              <w:rPr>
                <w:rFonts w:cs="Arial"/>
                <w:bCs/>
                <w:szCs w:val="16"/>
              </w:rPr>
              <w:t>28</w:t>
            </w:r>
          </w:p>
        </w:tc>
        <w:tc>
          <w:tcPr>
            <w:tcW w:w="833" w:type="pct"/>
          </w:tcPr>
          <w:p w14:paraId="6AACF40D" w14:textId="77777777" w:rsidR="00B25161" w:rsidRPr="00E0465B" w:rsidRDefault="00B25161" w:rsidP="00B25161">
            <w:pPr>
              <w:rPr>
                <w:rFonts w:cs="Arial"/>
                <w:bCs/>
                <w:szCs w:val="16"/>
              </w:rPr>
            </w:pPr>
            <w:r w:rsidRPr="00E0465B">
              <w:rPr>
                <w:rFonts w:cs="Arial"/>
                <w:bCs/>
                <w:szCs w:val="16"/>
              </w:rPr>
              <w:t>818</w:t>
            </w:r>
          </w:p>
        </w:tc>
        <w:tc>
          <w:tcPr>
            <w:tcW w:w="833" w:type="pct"/>
          </w:tcPr>
          <w:p w14:paraId="081B7FED" w14:textId="77777777" w:rsidR="00B25161" w:rsidRPr="00E0465B" w:rsidRDefault="00B25161" w:rsidP="00B25161">
            <w:pPr>
              <w:rPr>
                <w:rFonts w:cs="Arial"/>
                <w:bCs/>
                <w:szCs w:val="16"/>
              </w:rPr>
            </w:pPr>
            <w:r w:rsidRPr="00E0465B">
              <w:rPr>
                <w:rFonts w:cs="Arial"/>
                <w:bCs/>
                <w:szCs w:val="16"/>
              </w:rPr>
              <w:t>1,309</w:t>
            </w:r>
          </w:p>
        </w:tc>
        <w:tc>
          <w:tcPr>
            <w:tcW w:w="833" w:type="pct"/>
          </w:tcPr>
          <w:p w14:paraId="22075B7A" w14:textId="77777777" w:rsidR="00B25161" w:rsidRPr="00E0465B" w:rsidRDefault="00B25161" w:rsidP="00B25161">
            <w:pPr>
              <w:rPr>
                <w:rFonts w:cs="Arial"/>
                <w:bCs/>
                <w:szCs w:val="16"/>
              </w:rPr>
            </w:pPr>
            <w:r w:rsidRPr="00E0465B">
              <w:rPr>
                <w:rFonts w:cs="Arial"/>
                <w:bCs/>
                <w:szCs w:val="16"/>
              </w:rPr>
              <w:t>560</w:t>
            </w:r>
          </w:p>
        </w:tc>
        <w:tc>
          <w:tcPr>
            <w:tcW w:w="833" w:type="pct"/>
          </w:tcPr>
          <w:p w14:paraId="0F4D0987" w14:textId="77777777" w:rsidR="00B25161" w:rsidRPr="00E0465B" w:rsidRDefault="00B25161" w:rsidP="00B25161">
            <w:pPr>
              <w:rPr>
                <w:rFonts w:cs="Arial"/>
                <w:bCs/>
                <w:szCs w:val="16"/>
              </w:rPr>
            </w:pPr>
            <w:r w:rsidRPr="00E0465B">
              <w:rPr>
                <w:rFonts w:cs="Arial"/>
                <w:bCs/>
                <w:szCs w:val="16"/>
              </w:rPr>
              <w:t>220</w:t>
            </w:r>
          </w:p>
        </w:tc>
      </w:tr>
      <w:tr w:rsidR="00B25161" w:rsidRPr="00B25161" w14:paraId="6BFF2365" w14:textId="77777777" w:rsidTr="00B25161">
        <w:tc>
          <w:tcPr>
            <w:tcW w:w="834" w:type="pct"/>
          </w:tcPr>
          <w:p w14:paraId="71D19AE7" w14:textId="77777777" w:rsidR="00B25161" w:rsidRPr="00B25161" w:rsidRDefault="00B25161" w:rsidP="00B25161">
            <w:pPr>
              <w:rPr>
                <w:rFonts w:cs="Arial"/>
                <w:b/>
                <w:szCs w:val="16"/>
              </w:rPr>
            </w:pPr>
            <w:r w:rsidRPr="00B25161">
              <w:rPr>
                <w:rFonts w:cs="Arial"/>
                <w:b/>
                <w:szCs w:val="16"/>
              </w:rPr>
              <w:t>Performance (%)</w:t>
            </w:r>
          </w:p>
        </w:tc>
        <w:tc>
          <w:tcPr>
            <w:tcW w:w="833" w:type="pct"/>
          </w:tcPr>
          <w:p w14:paraId="11307E24" w14:textId="32B4B61D" w:rsidR="00B25161" w:rsidRPr="00E0465B" w:rsidRDefault="00B25161" w:rsidP="00B25161">
            <w:pPr>
              <w:rPr>
                <w:rFonts w:cs="Arial"/>
                <w:bCs/>
                <w:szCs w:val="16"/>
              </w:rPr>
            </w:pPr>
            <w:r w:rsidRPr="00E0465B">
              <w:rPr>
                <w:rFonts w:cs="Arial"/>
                <w:bCs/>
                <w:szCs w:val="16"/>
              </w:rPr>
              <w:t>0.95%</w:t>
            </w:r>
          </w:p>
        </w:tc>
        <w:tc>
          <w:tcPr>
            <w:tcW w:w="833" w:type="pct"/>
          </w:tcPr>
          <w:p w14:paraId="0C63E60D" w14:textId="01DF065D" w:rsidR="00B25161" w:rsidRPr="00E0465B" w:rsidRDefault="00B25161" w:rsidP="00B25161">
            <w:pPr>
              <w:rPr>
                <w:rFonts w:cs="Arial"/>
                <w:bCs/>
                <w:szCs w:val="16"/>
              </w:rPr>
            </w:pPr>
            <w:r w:rsidRPr="00E0465B">
              <w:rPr>
                <w:rFonts w:cs="Arial"/>
                <w:bCs/>
                <w:szCs w:val="16"/>
              </w:rPr>
              <w:t>27.87%</w:t>
            </w:r>
          </w:p>
        </w:tc>
        <w:tc>
          <w:tcPr>
            <w:tcW w:w="833" w:type="pct"/>
          </w:tcPr>
          <w:p w14:paraId="6F7D3253" w14:textId="7E946AA3" w:rsidR="00B25161" w:rsidRPr="00E0465B" w:rsidRDefault="00B25161" w:rsidP="00B25161">
            <w:pPr>
              <w:rPr>
                <w:rFonts w:cs="Arial"/>
                <w:bCs/>
                <w:szCs w:val="16"/>
              </w:rPr>
            </w:pPr>
            <w:r w:rsidRPr="00E0465B">
              <w:rPr>
                <w:rFonts w:cs="Arial"/>
                <w:bCs/>
                <w:szCs w:val="16"/>
              </w:rPr>
              <w:t>44.60%</w:t>
            </w:r>
          </w:p>
        </w:tc>
        <w:tc>
          <w:tcPr>
            <w:tcW w:w="833" w:type="pct"/>
          </w:tcPr>
          <w:p w14:paraId="31007D6F" w14:textId="0DE6AD7D" w:rsidR="00B25161" w:rsidRPr="00E0465B" w:rsidRDefault="00B25161" w:rsidP="00B25161">
            <w:pPr>
              <w:rPr>
                <w:rFonts w:cs="Arial"/>
                <w:bCs/>
                <w:szCs w:val="16"/>
              </w:rPr>
            </w:pPr>
            <w:r w:rsidRPr="00E0465B">
              <w:rPr>
                <w:rFonts w:cs="Arial"/>
                <w:bCs/>
                <w:szCs w:val="16"/>
              </w:rPr>
              <w:t>19.08%</w:t>
            </w:r>
          </w:p>
        </w:tc>
        <w:tc>
          <w:tcPr>
            <w:tcW w:w="833" w:type="pct"/>
          </w:tcPr>
          <w:p w14:paraId="7AD8D8B9" w14:textId="6DC41E9B" w:rsidR="00B25161" w:rsidRPr="00E0465B" w:rsidRDefault="00B25161" w:rsidP="00B25161">
            <w:pPr>
              <w:rPr>
                <w:rFonts w:cs="Arial"/>
                <w:bCs/>
                <w:szCs w:val="16"/>
              </w:rPr>
            </w:pPr>
            <w:r w:rsidRPr="00E0465B">
              <w:rPr>
                <w:rFonts w:cs="Arial"/>
                <w:bCs/>
                <w:szCs w:val="16"/>
              </w:rPr>
              <w:t>7.50%</w:t>
            </w:r>
          </w:p>
        </w:tc>
      </w:tr>
      <w:tr w:rsidR="00B25161" w:rsidRPr="00B25161" w14:paraId="6F91944D" w14:textId="77777777" w:rsidTr="00B25161">
        <w:tc>
          <w:tcPr>
            <w:tcW w:w="834" w:type="pct"/>
          </w:tcPr>
          <w:p w14:paraId="35FDD300" w14:textId="77777777" w:rsidR="00B25161" w:rsidRPr="00B25161" w:rsidRDefault="00B25161" w:rsidP="00B25161">
            <w:pPr>
              <w:rPr>
                <w:rFonts w:cs="Arial"/>
                <w:b/>
                <w:szCs w:val="16"/>
              </w:rPr>
            </w:pPr>
            <w:r w:rsidRPr="00B25161">
              <w:rPr>
                <w:rFonts w:cs="Arial"/>
                <w:b/>
                <w:szCs w:val="16"/>
              </w:rPr>
              <w:t>Scores</w:t>
            </w:r>
          </w:p>
        </w:tc>
        <w:tc>
          <w:tcPr>
            <w:tcW w:w="833" w:type="pct"/>
          </w:tcPr>
          <w:p w14:paraId="659483D6" w14:textId="77777777" w:rsidR="00B25161" w:rsidRPr="00E0465B" w:rsidRDefault="00B25161" w:rsidP="00B25161">
            <w:pPr>
              <w:rPr>
                <w:rFonts w:cs="Arial"/>
                <w:bCs/>
                <w:szCs w:val="16"/>
              </w:rPr>
            </w:pPr>
            <w:r w:rsidRPr="00E0465B">
              <w:rPr>
                <w:rFonts w:cs="Arial"/>
                <w:bCs/>
                <w:szCs w:val="16"/>
              </w:rPr>
              <w:t>1</w:t>
            </w:r>
          </w:p>
        </w:tc>
        <w:tc>
          <w:tcPr>
            <w:tcW w:w="833" w:type="pct"/>
          </w:tcPr>
          <w:p w14:paraId="0D92849C" w14:textId="77777777" w:rsidR="00B25161" w:rsidRPr="00E0465B" w:rsidRDefault="00B25161" w:rsidP="00B25161">
            <w:pPr>
              <w:rPr>
                <w:rFonts w:cs="Arial"/>
                <w:bCs/>
                <w:szCs w:val="16"/>
              </w:rPr>
            </w:pPr>
            <w:r w:rsidRPr="00E0465B">
              <w:rPr>
                <w:rFonts w:cs="Arial"/>
                <w:bCs/>
                <w:szCs w:val="16"/>
              </w:rPr>
              <w:t>1</w:t>
            </w:r>
          </w:p>
        </w:tc>
        <w:tc>
          <w:tcPr>
            <w:tcW w:w="833" w:type="pct"/>
          </w:tcPr>
          <w:p w14:paraId="48F5FC4F" w14:textId="77777777" w:rsidR="00B25161" w:rsidRPr="00E0465B" w:rsidRDefault="00B25161" w:rsidP="00B25161">
            <w:pPr>
              <w:rPr>
                <w:rFonts w:cs="Arial"/>
                <w:bCs/>
                <w:szCs w:val="16"/>
              </w:rPr>
            </w:pPr>
            <w:r w:rsidRPr="00E0465B">
              <w:rPr>
                <w:rFonts w:cs="Arial"/>
                <w:bCs/>
                <w:szCs w:val="16"/>
              </w:rPr>
              <w:t>1</w:t>
            </w:r>
          </w:p>
        </w:tc>
        <w:tc>
          <w:tcPr>
            <w:tcW w:w="833" w:type="pct"/>
          </w:tcPr>
          <w:p w14:paraId="1FDD3FEA" w14:textId="77777777" w:rsidR="00B25161" w:rsidRPr="00E0465B" w:rsidRDefault="00B25161" w:rsidP="00B25161">
            <w:pPr>
              <w:rPr>
                <w:rFonts w:cs="Arial"/>
                <w:bCs/>
                <w:szCs w:val="16"/>
              </w:rPr>
            </w:pPr>
            <w:r w:rsidRPr="00E0465B">
              <w:rPr>
                <w:rFonts w:cs="Arial"/>
                <w:bCs/>
                <w:szCs w:val="16"/>
              </w:rPr>
              <w:t>1</w:t>
            </w:r>
          </w:p>
        </w:tc>
        <w:tc>
          <w:tcPr>
            <w:tcW w:w="833" w:type="pct"/>
          </w:tcPr>
          <w:p w14:paraId="05E9A5FD" w14:textId="77777777" w:rsidR="00B25161" w:rsidRPr="00E0465B" w:rsidRDefault="00B25161" w:rsidP="00B25161">
            <w:pPr>
              <w:rPr>
                <w:rFonts w:cs="Arial"/>
                <w:bCs/>
                <w:szCs w:val="16"/>
              </w:rPr>
            </w:pPr>
            <w:r w:rsidRPr="00E0465B">
              <w:rPr>
                <w:rFonts w:cs="Arial"/>
                <w:bCs/>
                <w:szCs w:val="16"/>
              </w:rPr>
              <w:t>1</w:t>
            </w:r>
          </w:p>
        </w:tc>
      </w:tr>
    </w:tbl>
    <w:p w14:paraId="3EF3536C" w14:textId="77777777" w:rsidR="00B25161" w:rsidRPr="00B25161" w:rsidRDefault="00B25161" w:rsidP="00B25161">
      <w:pPr>
        <w:rPr>
          <w:rFonts w:cs="Arial"/>
          <w:b/>
          <w:szCs w:val="16"/>
        </w:rPr>
      </w:pPr>
    </w:p>
    <w:tbl>
      <w:tblPr>
        <w:tblStyle w:val="TableGrid1"/>
        <w:tblW w:w="5008" w:type="pct"/>
        <w:tblLayout w:type="fixed"/>
        <w:tblLook w:val="04A0" w:firstRow="1" w:lastRow="0" w:firstColumn="1" w:lastColumn="0" w:noHBand="0" w:noVBand="1"/>
        <w:tblCaption w:val="C03OTCCSTAT"/>
      </w:tblPr>
      <w:tblGrid>
        <w:gridCol w:w="1804"/>
        <w:gridCol w:w="1801"/>
        <w:gridCol w:w="1801"/>
        <w:gridCol w:w="1801"/>
        <w:gridCol w:w="1800"/>
        <w:gridCol w:w="1800"/>
      </w:tblGrid>
      <w:tr w:rsidR="00B25161" w:rsidRPr="00B25161" w14:paraId="65E382DE" w14:textId="77777777" w:rsidTr="004A2E39">
        <w:trPr>
          <w:tblHeader/>
        </w:trPr>
        <w:tc>
          <w:tcPr>
            <w:tcW w:w="834" w:type="pct"/>
          </w:tcPr>
          <w:p w14:paraId="17D41D0B" w14:textId="77777777" w:rsidR="00B25161" w:rsidRPr="00B25161" w:rsidRDefault="00B25161" w:rsidP="00B25161">
            <w:pPr>
              <w:rPr>
                <w:rFonts w:cs="Arial"/>
                <w:b/>
                <w:szCs w:val="16"/>
              </w:rPr>
            </w:pPr>
            <w:r w:rsidRPr="00B25161">
              <w:rPr>
                <w:rFonts w:cs="Arial"/>
                <w:b/>
                <w:szCs w:val="16"/>
              </w:rPr>
              <w:t>Outcome C — Actions to Meet Needs</w:t>
            </w:r>
          </w:p>
        </w:tc>
        <w:tc>
          <w:tcPr>
            <w:tcW w:w="833" w:type="pct"/>
          </w:tcPr>
          <w:p w14:paraId="3F6AFB6C" w14:textId="77777777" w:rsidR="00B25161" w:rsidRPr="00B25161" w:rsidRDefault="00B25161" w:rsidP="00B25161">
            <w:pPr>
              <w:rPr>
                <w:rFonts w:cs="Arial"/>
                <w:b/>
                <w:szCs w:val="16"/>
              </w:rPr>
            </w:pPr>
            <w:r w:rsidRPr="00B25161">
              <w:rPr>
                <w:rFonts w:cs="Arial"/>
                <w:b/>
                <w:szCs w:val="16"/>
              </w:rPr>
              <w:t>Category a</w:t>
            </w:r>
          </w:p>
        </w:tc>
        <w:tc>
          <w:tcPr>
            <w:tcW w:w="833" w:type="pct"/>
          </w:tcPr>
          <w:p w14:paraId="063C4291" w14:textId="77777777" w:rsidR="00B25161" w:rsidRPr="00B25161" w:rsidRDefault="00B25161" w:rsidP="00B25161">
            <w:pPr>
              <w:rPr>
                <w:rFonts w:cs="Arial"/>
                <w:b/>
                <w:szCs w:val="16"/>
              </w:rPr>
            </w:pPr>
            <w:r w:rsidRPr="00B25161">
              <w:rPr>
                <w:rFonts w:cs="Arial"/>
                <w:b/>
                <w:szCs w:val="16"/>
              </w:rPr>
              <w:t>Category b</w:t>
            </w:r>
          </w:p>
        </w:tc>
        <w:tc>
          <w:tcPr>
            <w:tcW w:w="833" w:type="pct"/>
          </w:tcPr>
          <w:p w14:paraId="50D27078" w14:textId="77777777" w:rsidR="00B25161" w:rsidRPr="00B25161" w:rsidRDefault="00B25161" w:rsidP="00B25161">
            <w:pPr>
              <w:rPr>
                <w:rFonts w:cs="Arial"/>
                <w:b/>
                <w:szCs w:val="16"/>
              </w:rPr>
            </w:pPr>
            <w:r w:rsidRPr="00B25161">
              <w:rPr>
                <w:rFonts w:cs="Arial"/>
                <w:b/>
                <w:szCs w:val="16"/>
              </w:rPr>
              <w:t>Category c</w:t>
            </w:r>
          </w:p>
        </w:tc>
        <w:tc>
          <w:tcPr>
            <w:tcW w:w="833" w:type="pct"/>
          </w:tcPr>
          <w:p w14:paraId="3431837C" w14:textId="77777777" w:rsidR="00B25161" w:rsidRPr="00B25161" w:rsidRDefault="00B25161" w:rsidP="00B25161">
            <w:pPr>
              <w:rPr>
                <w:rFonts w:cs="Arial"/>
                <w:b/>
                <w:szCs w:val="16"/>
              </w:rPr>
            </w:pPr>
            <w:r w:rsidRPr="00B25161">
              <w:rPr>
                <w:rFonts w:cs="Arial"/>
                <w:b/>
                <w:szCs w:val="16"/>
              </w:rPr>
              <w:t>Category d</w:t>
            </w:r>
          </w:p>
        </w:tc>
        <w:tc>
          <w:tcPr>
            <w:tcW w:w="833" w:type="pct"/>
          </w:tcPr>
          <w:p w14:paraId="6A8E085B" w14:textId="77777777" w:rsidR="00B25161" w:rsidRPr="00B25161" w:rsidRDefault="00B25161" w:rsidP="00B25161">
            <w:pPr>
              <w:rPr>
                <w:rFonts w:cs="Arial"/>
                <w:b/>
                <w:szCs w:val="16"/>
              </w:rPr>
            </w:pPr>
            <w:r w:rsidRPr="00B25161">
              <w:rPr>
                <w:rFonts w:cs="Arial"/>
                <w:b/>
                <w:szCs w:val="16"/>
              </w:rPr>
              <w:t>Category e</w:t>
            </w:r>
          </w:p>
        </w:tc>
      </w:tr>
      <w:tr w:rsidR="00B25161" w:rsidRPr="00B25161" w14:paraId="73389F83" w14:textId="77777777" w:rsidTr="00B25161">
        <w:tc>
          <w:tcPr>
            <w:tcW w:w="834" w:type="pct"/>
          </w:tcPr>
          <w:p w14:paraId="6420697F"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4A7C07BA" w14:textId="77777777" w:rsidR="00B25161" w:rsidRPr="00E0465B" w:rsidRDefault="00B25161" w:rsidP="00B25161">
            <w:pPr>
              <w:rPr>
                <w:rFonts w:cs="Arial"/>
                <w:bCs/>
                <w:szCs w:val="16"/>
              </w:rPr>
            </w:pPr>
            <w:r w:rsidRPr="00E0465B">
              <w:rPr>
                <w:rFonts w:cs="Arial"/>
                <w:bCs/>
                <w:szCs w:val="16"/>
              </w:rPr>
              <w:t>23</w:t>
            </w:r>
          </w:p>
        </w:tc>
        <w:tc>
          <w:tcPr>
            <w:tcW w:w="833" w:type="pct"/>
          </w:tcPr>
          <w:p w14:paraId="13413534" w14:textId="77777777" w:rsidR="00B25161" w:rsidRPr="00E0465B" w:rsidRDefault="00B25161" w:rsidP="00B25161">
            <w:pPr>
              <w:rPr>
                <w:rFonts w:cs="Arial"/>
                <w:bCs/>
                <w:szCs w:val="16"/>
              </w:rPr>
            </w:pPr>
            <w:r w:rsidRPr="00E0465B">
              <w:rPr>
                <w:rFonts w:cs="Arial"/>
                <w:bCs/>
                <w:szCs w:val="16"/>
              </w:rPr>
              <w:t>332</w:t>
            </w:r>
          </w:p>
        </w:tc>
        <w:tc>
          <w:tcPr>
            <w:tcW w:w="833" w:type="pct"/>
          </w:tcPr>
          <w:p w14:paraId="47A2BC12" w14:textId="77777777" w:rsidR="00B25161" w:rsidRPr="00E0465B" w:rsidRDefault="00B25161" w:rsidP="00B25161">
            <w:pPr>
              <w:rPr>
                <w:rFonts w:cs="Arial"/>
                <w:bCs/>
                <w:szCs w:val="16"/>
              </w:rPr>
            </w:pPr>
            <w:r w:rsidRPr="00E0465B">
              <w:rPr>
                <w:rFonts w:cs="Arial"/>
                <w:bCs/>
                <w:szCs w:val="16"/>
              </w:rPr>
              <w:t>1,131</w:t>
            </w:r>
          </w:p>
        </w:tc>
        <w:tc>
          <w:tcPr>
            <w:tcW w:w="833" w:type="pct"/>
          </w:tcPr>
          <w:p w14:paraId="4915D083" w14:textId="77777777" w:rsidR="00B25161" w:rsidRPr="00E0465B" w:rsidRDefault="00B25161" w:rsidP="00B25161">
            <w:pPr>
              <w:rPr>
                <w:rFonts w:cs="Arial"/>
                <w:bCs/>
                <w:szCs w:val="16"/>
              </w:rPr>
            </w:pPr>
            <w:r w:rsidRPr="00E0465B">
              <w:rPr>
                <w:rFonts w:cs="Arial"/>
                <w:bCs/>
                <w:szCs w:val="16"/>
              </w:rPr>
              <w:t>825</w:t>
            </w:r>
          </w:p>
        </w:tc>
        <w:tc>
          <w:tcPr>
            <w:tcW w:w="833" w:type="pct"/>
          </w:tcPr>
          <w:p w14:paraId="64ED007D" w14:textId="77777777" w:rsidR="00B25161" w:rsidRPr="00E0465B" w:rsidRDefault="00B25161" w:rsidP="00B25161">
            <w:pPr>
              <w:rPr>
                <w:rFonts w:cs="Arial"/>
                <w:bCs/>
                <w:szCs w:val="16"/>
              </w:rPr>
            </w:pPr>
            <w:r w:rsidRPr="00E0465B">
              <w:rPr>
                <w:rFonts w:cs="Arial"/>
                <w:bCs/>
                <w:szCs w:val="16"/>
              </w:rPr>
              <w:t>624</w:t>
            </w:r>
          </w:p>
        </w:tc>
      </w:tr>
      <w:tr w:rsidR="00B25161" w:rsidRPr="00B25161" w14:paraId="176CF908" w14:textId="77777777" w:rsidTr="00B25161">
        <w:tc>
          <w:tcPr>
            <w:tcW w:w="834" w:type="pct"/>
          </w:tcPr>
          <w:p w14:paraId="5E4C5834" w14:textId="77777777" w:rsidR="00B25161" w:rsidRPr="00B25161" w:rsidRDefault="00B25161" w:rsidP="00B25161">
            <w:pPr>
              <w:rPr>
                <w:rFonts w:cs="Arial"/>
                <w:b/>
                <w:szCs w:val="16"/>
              </w:rPr>
            </w:pPr>
            <w:r w:rsidRPr="00B25161">
              <w:rPr>
                <w:rFonts w:cs="Arial"/>
                <w:b/>
                <w:szCs w:val="16"/>
              </w:rPr>
              <w:t>Performance (%)</w:t>
            </w:r>
          </w:p>
        </w:tc>
        <w:tc>
          <w:tcPr>
            <w:tcW w:w="833" w:type="pct"/>
          </w:tcPr>
          <w:p w14:paraId="31E0A739" w14:textId="2F0AA12C" w:rsidR="00B25161" w:rsidRPr="00E0465B" w:rsidRDefault="00B25161" w:rsidP="00B25161">
            <w:pPr>
              <w:rPr>
                <w:rFonts w:cs="Arial"/>
                <w:bCs/>
                <w:szCs w:val="16"/>
              </w:rPr>
            </w:pPr>
            <w:r w:rsidRPr="00E0465B">
              <w:rPr>
                <w:rFonts w:cs="Arial"/>
                <w:bCs/>
                <w:szCs w:val="16"/>
              </w:rPr>
              <w:t>0.78%</w:t>
            </w:r>
          </w:p>
        </w:tc>
        <w:tc>
          <w:tcPr>
            <w:tcW w:w="833" w:type="pct"/>
          </w:tcPr>
          <w:p w14:paraId="127BF181" w14:textId="3BECFE2D" w:rsidR="00B25161" w:rsidRPr="00E0465B" w:rsidRDefault="00B25161" w:rsidP="00B25161">
            <w:pPr>
              <w:rPr>
                <w:rFonts w:cs="Arial"/>
                <w:bCs/>
                <w:szCs w:val="16"/>
              </w:rPr>
            </w:pPr>
            <w:r w:rsidRPr="00E0465B">
              <w:rPr>
                <w:rFonts w:cs="Arial"/>
                <w:bCs/>
                <w:szCs w:val="16"/>
              </w:rPr>
              <w:t>11.31%</w:t>
            </w:r>
          </w:p>
        </w:tc>
        <w:tc>
          <w:tcPr>
            <w:tcW w:w="833" w:type="pct"/>
          </w:tcPr>
          <w:p w14:paraId="37EC9364" w14:textId="61A07A7E" w:rsidR="00B25161" w:rsidRPr="00E0465B" w:rsidRDefault="00B25161" w:rsidP="00B25161">
            <w:pPr>
              <w:rPr>
                <w:rFonts w:cs="Arial"/>
                <w:bCs/>
                <w:szCs w:val="16"/>
              </w:rPr>
            </w:pPr>
            <w:r w:rsidRPr="00E0465B">
              <w:rPr>
                <w:rFonts w:cs="Arial"/>
                <w:bCs/>
                <w:szCs w:val="16"/>
              </w:rPr>
              <w:t>38.53%</w:t>
            </w:r>
          </w:p>
        </w:tc>
        <w:tc>
          <w:tcPr>
            <w:tcW w:w="833" w:type="pct"/>
          </w:tcPr>
          <w:p w14:paraId="09DF3FA5" w14:textId="57617973" w:rsidR="00B25161" w:rsidRPr="00E0465B" w:rsidRDefault="00B25161" w:rsidP="00B25161">
            <w:pPr>
              <w:rPr>
                <w:rFonts w:cs="Arial"/>
                <w:bCs/>
                <w:szCs w:val="16"/>
              </w:rPr>
            </w:pPr>
            <w:r w:rsidRPr="00E0465B">
              <w:rPr>
                <w:rFonts w:cs="Arial"/>
                <w:bCs/>
                <w:szCs w:val="16"/>
              </w:rPr>
              <w:t>28.11%</w:t>
            </w:r>
          </w:p>
        </w:tc>
        <w:tc>
          <w:tcPr>
            <w:tcW w:w="833" w:type="pct"/>
          </w:tcPr>
          <w:p w14:paraId="54994806" w14:textId="468B6FDF" w:rsidR="00B25161" w:rsidRPr="00E0465B" w:rsidRDefault="00B25161" w:rsidP="00B25161">
            <w:pPr>
              <w:rPr>
                <w:rFonts w:cs="Arial"/>
                <w:bCs/>
                <w:szCs w:val="16"/>
              </w:rPr>
            </w:pPr>
            <w:r w:rsidRPr="00E0465B">
              <w:rPr>
                <w:rFonts w:cs="Arial"/>
                <w:bCs/>
                <w:szCs w:val="16"/>
              </w:rPr>
              <w:t>21.26%</w:t>
            </w:r>
          </w:p>
        </w:tc>
      </w:tr>
      <w:tr w:rsidR="00B25161" w:rsidRPr="00B25161" w14:paraId="3FE1F63B" w14:textId="77777777" w:rsidTr="00B25161">
        <w:tc>
          <w:tcPr>
            <w:tcW w:w="834" w:type="pct"/>
          </w:tcPr>
          <w:p w14:paraId="4A9A5C22" w14:textId="77777777" w:rsidR="00B25161" w:rsidRPr="00B25161" w:rsidRDefault="00B25161" w:rsidP="00B25161">
            <w:pPr>
              <w:rPr>
                <w:rFonts w:cs="Arial"/>
                <w:b/>
                <w:szCs w:val="16"/>
              </w:rPr>
            </w:pPr>
            <w:r w:rsidRPr="00B25161">
              <w:rPr>
                <w:rFonts w:cs="Arial"/>
                <w:b/>
                <w:szCs w:val="16"/>
              </w:rPr>
              <w:t>Scores</w:t>
            </w:r>
          </w:p>
        </w:tc>
        <w:tc>
          <w:tcPr>
            <w:tcW w:w="833" w:type="pct"/>
          </w:tcPr>
          <w:p w14:paraId="1ECD4EFC" w14:textId="77777777" w:rsidR="00B25161" w:rsidRPr="00E0465B" w:rsidRDefault="00B25161" w:rsidP="00B25161">
            <w:pPr>
              <w:rPr>
                <w:rFonts w:cs="Arial"/>
                <w:bCs/>
                <w:szCs w:val="16"/>
              </w:rPr>
            </w:pPr>
            <w:r w:rsidRPr="00E0465B">
              <w:rPr>
                <w:rFonts w:cs="Arial"/>
                <w:bCs/>
                <w:szCs w:val="16"/>
              </w:rPr>
              <w:t>1</w:t>
            </w:r>
          </w:p>
        </w:tc>
        <w:tc>
          <w:tcPr>
            <w:tcW w:w="833" w:type="pct"/>
          </w:tcPr>
          <w:p w14:paraId="455BC9BA" w14:textId="77777777" w:rsidR="00B25161" w:rsidRPr="00E0465B" w:rsidRDefault="00B25161" w:rsidP="00B25161">
            <w:pPr>
              <w:rPr>
                <w:rFonts w:cs="Arial"/>
                <w:bCs/>
                <w:szCs w:val="16"/>
              </w:rPr>
            </w:pPr>
            <w:r w:rsidRPr="00E0465B">
              <w:rPr>
                <w:rFonts w:cs="Arial"/>
                <w:bCs/>
                <w:szCs w:val="16"/>
              </w:rPr>
              <w:t>1</w:t>
            </w:r>
          </w:p>
        </w:tc>
        <w:tc>
          <w:tcPr>
            <w:tcW w:w="833" w:type="pct"/>
          </w:tcPr>
          <w:p w14:paraId="6D56B68A" w14:textId="77777777" w:rsidR="00B25161" w:rsidRPr="00E0465B" w:rsidRDefault="00B25161" w:rsidP="00B25161">
            <w:pPr>
              <w:rPr>
                <w:rFonts w:cs="Arial"/>
                <w:bCs/>
                <w:szCs w:val="16"/>
              </w:rPr>
            </w:pPr>
            <w:r w:rsidRPr="00E0465B">
              <w:rPr>
                <w:rFonts w:cs="Arial"/>
                <w:bCs/>
                <w:szCs w:val="16"/>
              </w:rPr>
              <w:t>1</w:t>
            </w:r>
          </w:p>
        </w:tc>
        <w:tc>
          <w:tcPr>
            <w:tcW w:w="833" w:type="pct"/>
          </w:tcPr>
          <w:p w14:paraId="32A5C166" w14:textId="77777777" w:rsidR="00B25161" w:rsidRPr="00E0465B" w:rsidRDefault="00B25161" w:rsidP="00B25161">
            <w:pPr>
              <w:rPr>
                <w:rFonts w:cs="Arial"/>
                <w:bCs/>
                <w:szCs w:val="16"/>
              </w:rPr>
            </w:pPr>
            <w:r w:rsidRPr="00E0465B">
              <w:rPr>
                <w:rFonts w:cs="Arial"/>
                <w:bCs/>
                <w:szCs w:val="16"/>
              </w:rPr>
              <w:t>1</w:t>
            </w:r>
          </w:p>
        </w:tc>
        <w:tc>
          <w:tcPr>
            <w:tcW w:w="833" w:type="pct"/>
          </w:tcPr>
          <w:p w14:paraId="1BF923E0" w14:textId="77777777" w:rsidR="00B25161" w:rsidRPr="00E0465B" w:rsidRDefault="00B25161" w:rsidP="00B25161">
            <w:pPr>
              <w:rPr>
                <w:rFonts w:cs="Arial"/>
                <w:bCs/>
                <w:szCs w:val="16"/>
              </w:rPr>
            </w:pPr>
            <w:r w:rsidRPr="00E0465B">
              <w:rPr>
                <w:rFonts w:cs="Arial"/>
                <w:bCs/>
                <w:szCs w:val="16"/>
              </w:rPr>
              <w:t>1</w:t>
            </w:r>
          </w:p>
        </w:tc>
      </w:tr>
    </w:tbl>
    <w:p w14:paraId="5AB01591" w14:textId="77777777" w:rsidR="00B25161" w:rsidRPr="00B25161" w:rsidRDefault="00B25161" w:rsidP="00B25161">
      <w:pPr>
        <w:rPr>
          <w:rFonts w:cs="Arial"/>
          <w:b/>
          <w:szCs w:val="16"/>
        </w:rPr>
      </w:pPr>
    </w:p>
    <w:tbl>
      <w:tblPr>
        <w:tblStyle w:val="TableGrid1"/>
        <w:tblW w:w="0" w:type="auto"/>
        <w:tblLook w:val="04A0" w:firstRow="1" w:lastRow="0" w:firstColumn="1" w:lastColumn="0" w:noHBand="0" w:noVBand="1"/>
        <w:tblCaption w:val="C03OTCFNL"/>
      </w:tblPr>
      <w:tblGrid>
        <w:gridCol w:w="2880"/>
        <w:gridCol w:w="1932"/>
      </w:tblGrid>
      <w:tr w:rsidR="00B25161" w:rsidRPr="00B25161" w14:paraId="1B488901" w14:textId="77777777" w:rsidTr="004A2E39">
        <w:trPr>
          <w:trHeight w:val="272"/>
          <w:tblHeader/>
        </w:trPr>
        <w:tc>
          <w:tcPr>
            <w:tcW w:w="2880" w:type="dxa"/>
          </w:tcPr>
          <w:p w14:paraId="3038373D" w14:textId="77777777" w:rsidR="00B25161" w:rsidRPr="00B25161" w:rsidRDefault="00B25161" w:rsidP="00B25161">
            <w:pPr>
              <w:rPr>
                <w:rFonts w:cs="Arial"/>
                <w:b/>
                <w:szCs w:val="16"/>
              </w:rPr>
            </w:pPr>
          </w:p>
        </w:tc>
        <w:tc>
          <w:tcPr>
            <w:tcW w:w="1932" w:type="dxa"/>
          </w:tcPr>
          <w:p w14:paraId="77ABF7A6" w14:textId="77777777" w:rsidR="00B25161" w:rsidRPr="00B25161" w:rsidRDefault="00B25161" w:rsidP="00B25161">
            <w:pPr>
              <w:rPr>
                <w:rFonts w:cs="Arial"/>
                <w:b/>
                <w:szCs w:val="16"/>
              </w:rPr>
            </w:pPr>
            <w:r w:rsidRPr="00B25161">
              <w:rPr>
                <w:rFonts w:cs="Arial"/>
                <w:b/>
                <w:szCs w:val="16"/>
              </w:rPr>
              <w:t>Total Score</w:t>
            </w:r>
          </w:p>
        </w:tc>
      </w:tr>
      <w:tr w:rsidR="00B25161" w:rsidRPr="00B25161" w14:paraId="2D9A730F" w14:textId="77777777" w:rsidTr="00B25161">
        <w:trPr>
          <w:trHeight w:val="272"/>
        </w:trPr>
        <w:tc>
          <w:tcPr>
            <w:tcW w:w="2880" w:type="dxa"/>
          </w:tcPr>
          <w:p w14:paraId="48BC9BD7" w14:textId="77777777" w:rsidR="00B25161" w:rsidRPr="00B25161" w:rsidRDefault="00B25161" w:rsidP="00B25161">
            <w:pPr>
              <w:rPr>
                <w:rFonts w:cs="Arial"/>
                <w:b/>
                <w:szCs w:val="16"/>
              </w:rPr>
            </w:pPr>
            <w:r w:rsidRPr="00B25161">
              <w:rPr>
                <w:rFonts w:cs="Arial"/>
                <w:b/>
                <w:szCs w:val="16"/>
              </w:rPr>
              <w:t>Outcome A</w:t>
            </w:r>
          </w:p>
        </w:tc>
        <w:tc>
          <w:tcPr>
            <w:tcW w:w="1932" w:type="dxa"/>
          </w:tcPr>
          <w:p w14:paraId="06B374F4" w14:textId="687DD5CE" w:rsidR="00B25161" w:rsidRPr="00E0465B" w:rsidRDefault="00B25161" w:rsidP="00B25161">
            <w:pPr>
              <w:rPr>
                <w:rFonts w:cs="Arial"/>
                <w:bCs/>
                <w:szCs w:val="16"/>
              </w:rPr>
            </w:pPr>
            <w:r w:rsidRPr="00E0465B">
              <w:rPr>
                <w:rFonts w:cs="Arial"/>
                <w:bCs/>
                <w:szCs w:val="16"/>
              </w:rPr>
              <w:t>5</w:t>
            </w:r>
          </w:p>
        </w:tc>
      </w:tr>
      <w:tr w:rsidR="00B25161" w:rsidRPr="00B25161" w14:paraId="75C871C9" w14:textId="77777777" w:rsidTr="00B25161">
        <w:trPr>
          <w:trHeight w:val="272"/>
        </w:trPr>
        <w:tc>
          <w:tcPr>
            <w:tcW w:w="2880" w:type="dxa"/>
          </w:tcPr>
          <w:p w14:paraId="193CC5B1" w14:textId="77777777" w:rsidR="00B25161" w:rsidRPr="00B25161" w:rsidRDefault="00B25161" w:rsidP="00B25161">
            <w:pPr>
              <w:rPr>
                <w:rFonts w:cs="Arial"/>
                <w:b/>
                <w:szCs w:val="16"/>
              </w:rPr>
            </w:pPr>
            <w:r w:rsidRPr="00B25161">
              <w:rPr>
                <w:rFonts w:cs="Arial"/>
                <w:b/>
                <w:szCs w:val="16"/>
              </w:rPr>
              <w:t>Outcome B</w:t>
            </w:r>
          </w:p>
        </w:tc>
        <w:tc>
          <w:tcPr>
            <w:tcW w:w="1932" w:type="dxa"/>
          </w:tcPr>
          <w:p w14:paraId="4B78D677" w14:textId="57794493" w:rsidR="00B25161" w:rsidRPr="00E0465B" w:rsidRDefault="00B25161" w:rsidP="00B25161">
            <w:pPr>
              <w:rPr>
                <w:rFonts w:cs="Arial"/>
                <w:bCs/>
                <w:szCs w:val="16"/>
              </w:rPr>
            </w:pPr>
            <w:r w:rsidRPr="00E0465B">
              <w:rPr>
                <w:rFonts w:cs="Arial"/>
                <w:bCs/>
                <w:szCs w:val="16"/>
              </w:rPr>
              <w:t>5</w:t>
            </w:r>
          </w:p>
        </w:tc>
      </w:tr>
      <w:tr w:rsidR="00B25161" w:rsidRPr="00B25161" w14:paraId="45EE0999" w14:textId="77777777" w:rsidTr="00B25161">
        <w:trPr>
          <w:trHeight w:val="272"/>
        </w:trPr>
        <w:tc>
          <w:tcPr>
            <w:tcW w:w="2880" w:type="dxa"/>
          </w:tcPr>
          <w:p w14:paraId="25C23511" w14:textId="77777777" w:rsidR="00B25161" w:rsidRPr="00B25161" w:rsidRDefault="00B25161" w:rsidP="00B25161">
            <w:pPr>
              <w:rPr>
                <w:rFonts w:cs="Arial"/>
                <w:b/>
                <w:szCs w:val="16"/>
              </w:rPr>
            </w:pPr>
            <w:r w:rsidRPr="00B25161">
              <w:rPr>
                <w:rFonts w:cs="Arial"/>
                <w:b/>
                <w:szCs w:val="16"/>
              </w:rPr>
              <w:t>Outcome C</w:t>
            </w:r>
          </w:p>
        </w:tc>
        <w:tc>
          <w:tcPr>
            <w:tcW w:w="1932" w:type="dxa"/>
          </w:tcPr>
          <w:p w14:paraId="267A8932" w14:textId="15899D96" w:rsidR="00B25161" w:rsidRPr="00E0465B" w:rsidRDefault="00B25161" w:rsidP="00B25161">
            <w:pPr>
              <w:rPr>
                <w:rFonts w:cs="Arial"/>
                <w:bCs/>
                <w:szCs w:val="16"/>
              </w:rPr>
            </w:pPr>
            <w:r w:rsidRPr="00E0465B">
              <w:rPr>
                <w:rFonts w:cs="Arial"/>
                <w:bCs/>
                <w:szCs w:val="16"/>
              </w:rPr>
              <w:t>5</w:t>
            </w:r>
          </w:p>
        </w:tc>
      </w:tr>
      <w:tr w:rsidR="00B25161" w:rsidRPr="00B25161" w14:paraId="581A701A" w14:textId="77777777" w:rsidTr="00B25161">
        <w:trPr>
          <w:trHeight w:val="272"/>
        </w:trPr>
        <w:tc>
          <w:tcPr>
            <w:tcW w:w="2880" w:type="dxa"/>
          </w:tcPr>
          <w:p w14:paraId="57F30288" w14:textId="77777777" w:rsidR="00B25161" w:rsidRPr="00B25161" w:rsidRDefault="00B25161" w:rsidP="00B25161">
            <w:pPr>
              <w:rPr>
                <w:rFonts w:cs="Arial"/>
                <w:b/>
                <w:szCs w:val="16"/>
              </w:rPr>
            </w:pPr>
            <w:r w:rsidRPr="00B25161">
              <w:rPr>
                <w:rFonts w:cs="Arial"/>
                <w:b/>
                <w:szCs w:val="16"/>
              </w:rPr>
              <w:t>Outcomes A-C</w:t>
            </w:r>
          </w:p>
        </w:tc>
        <w:tc>
          <w:tcPr>
            <w:tcW w:w="1932" w:type="dxa"/>
          </w:tcPr>
          <w:p w14:paraId="20B4EDFB" w14:textId="5665A534" w:rsidR="00B25161" w:rsidRPr="00E0465B" w:rsidRDefault="00B25161" w:rsidP="00B25161">
            <w:pPr>
              <w:rPr>
                <w:rFonts w:cs="Arial"/>
                <w:bCs/>
                <w:szCs w:val="16"/>
              </w:rPr>
            </w:pPr>
            <w:r w:rsidRPr="00E0465B">
              <w:rPr>
                <w:rFonts w:cs="Arial"/>
                <w:bCs/>
                <w:szCs w:val="16"/>
              </w:rPr>
              <w:t>15</w:t>
            </w:r>
          </w:p>
        </w:tc>
      </w:tr>
    </w:tbl>
    <w:p w14:paraId="094B7EF3" w14:textId="77777777" w:rsidR="00B25161" w:rsidRPr="00B25161" w:rsidRDefault="00B25161" w:rsidP="00B25161">
      <w:pPr>
        <w:rPr>
          <w:rFonts w:cs="Arial"/>
          <w:b/>
          <w:szCs w:val="16"/>
        </w:rPr>
      </w:pPr>
    </w:p>
    <w:tbl>
      <w:tblPr>
        <w:tblStyle w:val="TableGrid1"/>
        <w:tblW w:w="0" w:type="auto"/>
        <w:tblLook w:val="04A0" w:firstRow="1" w:lastRow="0" w:firstColumn="1" w:lastColumn="0" w:noHBand="0" w:noVBand="1"/>
        <w:tblCaption w:val="C03ANOMFNL"/>
      </w:tblPr>
      <w:tblGrid>
        <w:gridCol w:w="2880"/>
        <w:gridCol w:w="2880"/>
      </w:tblGrid>
      <w:tr w:rsidR="00B25161" w:rsidRPr="00B25161" w14:paraId="4A0FEA67" w14:textId="77777777" w:rsidTr="00B25161">
        <w:tc>
          <w:tcPr>
            <w:tcW w:w="2880" w:type="dxa"/>
          </w:tcPr>
          <w:p w14:paraId="3051DA2A" w14:textId="77777777" w:rsidR="00B25161" w:rsidRPr="00B25161" w:rsidRDefault="00B25161" w:rsidP="00B25161">
            <w:pPr>
              <w:rPr>
                <w:rFonts w:cs="Arial"/>
                <w:b/>
                <w:szCs w:val="16"/>
              </w:rPr>
            </w:pPr>
            <w:r w:rsidRPr="00B25161">
              <w:rPr>
                <w:rFonts w:cs="Arial"/>
                <w:b/>
                <w:szCs w:val="16"/>
              </w:rPr>
              <w:t>Data Anomalies Score</w:t>
            </w:r>
          </w:p>
        </w:tc>
        <w:tc>
          <w:tcPr>
            <w:tcW w:w="2880" w:type="dxa"/>
          </w:tcPr>
          <w:p w14:paraId="4F2B4557" w14:textId="77777777" w:rsidR="00B25161" w:rsidRPr="00E0465B" w:rsidRDefault="00B25161" w:rsidP="00B25161">
            <w:pPr>
              <w:rPr>
                <w:rFonts w:cs="Arial"/>
                <w:bCs/>
                <w:szCs w:val="16"/>
              </w:rPr>
            </w:pPr>
            <w:r w:rsidRPr="00E0465B">
              <w:rPr>
                <w:rFonts w:cs="Arial"/>
                <w:bCs/>
                <w:szCs w:val="16"/>
              </w:rPr>
              <w:t>2</w:t>
            </w:r>
          </w:p>
        </w:tc>
      </w:tr>
    </w:tbl>
    <w:p w14:paraId="5EF02BB7" w14:textId="77777777" w:rsidR="00716DBD" w:rsidRDefault="00716DBD" w:rsidP="0081611B">
      <w:pPr>
        <w:rPr>
          <w:rFonts w:cs="Arial"/>
          <w:b/>
          <w:szCs w:val="16"/>
        </w:rPr>
      </w:pPr>
    </w:p>
    <w:p w14:paraId="5246613C" w14:textId="77777777" w:rsidR="00B25161" w:rsidRDefault="00B25161" w:rsidP="0081611B">
      <w:pPr>
        <w:rPr>
          <w:rFonts w:cs="Arial"/>
          <w:b/>
          <w:szCs w:val="16"/>
        </w:rPr>
      </w:pPr>
    </w:p>
    <w:p w14:paraId="1E89FB21" w14:textId="77777777" w:rsidR="00B25161" w:rsidRDefault="00B25161" w:rsidP="0081611B">
      <w:pPr>
        <w:rPr>
          <w:rFonts w:cs="Arial"/>
          <w:b/>
          <w:szCs w:val="16"/>
        </w:rPr>
      </w:pPr>
    </w:p>
    <w:p w14:paraId="2FCF86B1" w14:textId="77777777" w:rsidR="00B25161" w:rsidRDefault="00B25161" w:rsidP="0081611B">
      <w:pPr>
        <w:rPr>
          <w:rFonts w:cs="Arial"/>
          <w:b/>
          <w:szCs w:val="16"/>
        </w:rPr>
      </w:pPr>
    </w:p>
    <w:p w14:paraId="09FA12B4" w14:textId="77777777" w:rsidR="00B25161" w:rsidRDefault="00B25161" w:rsidP="0081611B">
      <w:pPr>
        <w:rPr>
          <w:rFonts w:cs="Arial"/>
          <w:b/>
          <w:szCs w:val="16"/>
        </w:rPr>
      </w:pPr>
    </w:p>
    <w:p w14:paraId="3E5A38FA" w14:textId="77777777" w:rsidR="00B25161" w:rsidRDefault="00B25161" w:rsidP="0081611B">
      <w:pPr>
        <w:rPr>
          <w:rFonts w:cs="Arial"/>
          <w:b/>
          <w:szCs w:val="16"/>
        </w:rPr>
      </w:pPr>
    </w:p>
    <w:p w14:paraId="17852D5C" w14:textId="77777777" w:rsidR="00E0465B" w:rsidRDefault="00E0465B">
      <w:pPr>
        <w:spacing w:before="0" w:after="200" w:line="276" w:lineRule="auto"/>
        <w:rPr>
          <w:rFonts w:cs="Arial"/>
          <w:b/>
          <w:bCs/>
          <w:szCs w:val="16"/>
        </w:rPr>
      </w:pPr>
      <w:r>
        <w:rPr>
          <w:rFonts w:cs="Arial"/>
          <w:b/>
          <w:bCs/>
          <w:szCs w:val="16"/>
        </w:rPr>
        <w:br w:type="page"/>
      </w:r>
    </w:p>
    <w:p w14:paraId="51A974EF" w14:textId="5528C11C" w:rsidR="009F37D6" w:rsidRPr="009F37D6" w:rsidRDefault="009F37D6" w:rsidP="009F37D6">
      <w:pPr>
        <w:rPr>
          <w:rFonts w:cs="Arial"/>
          <w:b/>
          <w:bCs/>
          <w:szCs w:val="16"/>
        </w:rPr>
      </w:pPr>
      <w:r w:rsidRPr="009F37D6">
        <w:rPr>
          <w:rFonts w:cs="Arial"/>
          <w:b/>
          <w:bCs/>
          <w:szCs w:val="16"/>
        </w:rPr>
        <w:lastRenderedPageBreak/>
        <w:t>Appendix C</w:t>
      </w:r>
    </w:p>
    <w:p w14:paraId="170A9CB5" w14:textId="77777777" w:rsidR="00A67CEE" w:rsidRDefault="00A67CEE" w:rsidP="009F37D6">
      <w:pPr>
        <w:rPr>
          <w:rFonts w:cs="Arial"/>
          <w:b/>
          <w:bCs/>
          <w:szCs w:val="16"/>
        </w:rPr>
      </w:pPr>
    </w:p>
    <w:p w14:paraId="6354287C" w14:textId="2EA1FA43" w:rsidR="00A67CEE" w:rsidRDefault="009F37D6" w:rsidP="009F37D6">
      <w:pPr>
        <w:rPr>
          <w:rFonts w:cs="Arial"/>
          <w:b/>
          <w:bCs/>
          <w:szCs w:val="16"/>
        </w:rPr>
      </w:pPr>
      <w:r w:rsidRPr="009F37D6">
        <w:rPr>
          <w:rFonts w:cs="Arial"/>
          <w:b/>
          <w:bCs/>
          <w:szCs w:val="16"/>
        </w:rPr>
        <w:t xml:space="preserve">II. (a) Data Comparison: </w:t>
      </w:r>
    </w:p>
    <w:p w14:paraId="6CF7C333" w14:textId="45C872AE" w:rsidR="009F37D6" w:rsidRPr="009F37D6" w:rsidRDefault="009F37D6" w:rsidP="009F37D6">
      <w:pPr>
        <w:rPr>
          <w:rFonts w:cs="Arial"/>
          <w:b/>
          <w:bCs/>
          <w:szCs w:val="16"/>
        </w:rPr>
      </w:pPr>
      <w:r w:rsidRPr="009F37D6">
        <w:rPr>
          <w:rFonts w:cs="Arial"/>
          <w:b/>
          <w:bCs/>
          <w:szCs w:val="16"/>
        </w:rPr>
        <w:t>Comparing Your State’s 2023 Outcomes Data to Other States’ 2023 Outcome Data</w:t>
      </w:r>
    </w:p>
    <w:p w14:paraId="78086C37" w14:textId="134E4683" w:rsidR="009F37D6" w:rsidRPr="00A67CEE" w:rsidRDefault="009F37D6" w:rsidP="009F37D6">
      <w:pPr>
        <w:rPr>
          <w:rFonts w:cs="Arial"/>
          <w:bCs/>
          <w:szCs w:val="16"/>
        </w:rPr>
      </w:pPr>
      <w:r w:rsidRPr="00A67CEE">
        <w:rPr>
          <w:rFonts w:cs="Arial"/>
          <w:bCs/>
          <w:szCs w:val="16"/>
        </w:rPr>
        <w:t>This score represents how your State's FFY 2023 Outcomes data compares to other States' FFY 2023 Outcomes Data. Your State received a score for the distribution of the 6 Summary Statements for your State compared to the distribution of the 6 Summary Statements in all other States. The 10th and 90th percentile for each of the 6 Summary Statements was identified and used to assign points to performance outcome data for each Summary Statement (values are based on data for States with a summary statement denominator greater than 199 exiters). Each Summary Statement outcome was assigned 0, 1, or 2 points. If your State's Summary Statement value fell at or below the 10th percentile, that Summary Statement was assigned 0 points. If your State's Summary Statement value fell between the 10th and 90th percentile, the Summary Statement was assigned 1 point, and if your State's Summary Statement value fell at or above the 90th percentile the Summary Statement was assigned 2 points. The points were added up across the 6 Summary Statements. A State can receive a total number of points between 0 and 12, with 0 points indicating all 6 Summary Statement values were at or below the 10th percentile and 12 points indicating all 6 Summary Statements were at or above the 90th percentile. An overall comparison Summary Statement score of 0, 1, or 2 was based on the total points awarded.</w:t>
      </w:r>
    </w:p>
    <w:p w14:paraId="762C815F" w14:textId="77777777" w:rsidR="009F37D6" w:rsidRPr="00A67CEE" w:rsidRDefault="009F37D6" w:rsidP="009F37D6">
      <w:pPr>
        <w:rPr>
          <w:rFonts w:cs="Arial"/>
          <w:bCs/>
          <w:i/>
          <w:iCs/>
          <w:szCs w:val="16"/>
        </w:rPr>
      </w:pPr>
      <w:r w:rsidRPr="00A67CEE">
        <w:rPr>
          <w:rFonts w:cs="Arial"/>
          <w:bCs/>
          <w:i/>
          <w:iCs/>
          <w:szCs w:val="16"/>
        </w:rPr>
        <w:t>Summary Statement 1: Of those infants and toddlers who entered or exited early intervention below age expectations in each Outcome, the percent who substantially increased their rate of growth by the time they turned 3 years of age or exited the program.</w:t>
      </w:r>
    </w:p>
    <w:p w14:paraId="246C2268" w14:textId="77777777" w:rsidR="009F37D6" w:rsidRPr="009F37D6" w:rsidRDefault="009F37D6" w:rsidP="009F37D6">
      <w:pPr>
        <w:rPr>
          <w:rFonts w:cs="Arial"/>
          <w:b/>
          <w:i/>
          <w:iCs/>
          <w:szCs w:val="16"/>
        </w:rPr>
      </w:pPr>
      <w:r w:rsidRPr="00A67CEE">
        <w:rPr>
          <w:rFonts w:cs="Arial"/>
          <w:bCs/>
          <w:i/>
          <w:iCs/>
          <w:szCs w:val="16"/>
        </w:rPr>
        <w:t>Summary Statement 2: The percent of infants and toddlers who were functioning within age expectations in each Outcome by the time they turned 3 years of age or exited the program.</w:t>
      </w:r>
    </w:p>
    <w:p w14:paraId="328AEA2B" w14:textId="77777777" w:rsidR="00A67CEE" w:rsidRDefault="00A67CEE" w:rsidP="009F37D6">
      <w:pPr>
        <w:rPr>
          <w:rFonts w:cs="Arial"/>
          <w:b/>
          <w:bCs/>
          <w:szCs w:val="16"/>
        </w:rPr>
      </w:pPr>
    </w:p>
    <w:p w14:paraId="6370C439" w14:textId="3CF3BF18" w:rsidR="009F37D6" w:rsidRPr="009F37D6" w:rsidRDefault="009F37D6" w:rsidP="009F37D6">
      <w:pPr>
        <w:rPr>
          <w:rFonts w:cs="Arial"/>
          <w:b/>
          <w:bCs/>
          <w:szCs w:val="16"/>
        </w:rPr>
      </w:pPr>
      <w:r w:rsidRPr="009F37D6">
        <w:rPr>
          <w:rFonts w:cs="Arial"/>
          <w:b/>
          <w:bCs/>
          <w:szCs w:val="16"/>
        </w:rPr>
        <w:t>Scoring Percentages for the 10th and 90th Percentile for Each Outcome and Summary Statement, FFY 2023</w:t>
      </w:r>
    </w:p>
    <w:tbl>
      <w:tblPr>
        <w:tblStyle w:val="TableGrid1"/>
        <w:tblW w:w="0" w:type="auto"/>
        <w:tblLayout w:type="fixed"/>
        <w:tblLook w:val="04A0" w:firstRow="1" w:lastRow="0" w:firstColumn="1" w:lastColumn="0" w:noHBand="0" w:noVBand="1"/>
        <w:tblCaption w:val="C03OTCPERC"/>
      </w:tblPr>
      <w:tblGrid>
        <w:gridCol w:w="1540"/>
        <w:gridCol w:w="1540"/>
        <w:gridCol w:w="1540"/>
        <w:gridCol w:w="1540"/>
        <w:gridCol w:w="1540"/>
        <w:gridCol w:w="1540"/>
        <w:gridCol w:w="1540"/>
      </w:tblGrid>
      <w:tr w:rsidR="009F37D6" w:rsidRPr="009F37D6" w14:paraId="69A45AE2" w14:textId="77777777" w:rsidTr="004A2E39">
        <w:trPr>
          <w:tblHeader/>
        </w:trPr>
        <w:tc>
          <w:tcPr>
            <w:tcW w:w="1540" w:type="dxa"/>
          </w:tcPr>
          <w:p w14:paraId="7824B3BE" w14:textId="77777777" w:rsidR="009F37D6" w:rsidRPr="009F37D6" w:rsidRDefault="009F37D6" w:rsidP="009F37D6">
            <w:pPr>
              <w:rPr>
                <w:rFonts w:cs="Arial"/>
                <w:b/>
                <w:szCs w:val="16"/>
              </w:rPr>
            </w:pPr>
            <w:r w:rsidRPr="009F37D6">
              <w:rPr>
                <w:rFonts w:cs="Arial"/>
                <w:b/>
                <w:szCs w:val="16"/>
              </w:rPr>
              <w:t>Percentiles</w:t>
            </w:r>
          </w:p>
        </w:tc>
        <w:tc>
          <w:tcPr>
            <w:tcW w:w="1540" w:type="dxa"/>
          </w:tcPr>
          <w:p w14:paraId="33107596" w14:textId="77777777" w:rsidR="009F37D6" w:rsidRPr="009F37D6" w:rsidRDefault="009F37D6" w:rsidP="009F37D6">
            <w:pPr>
              <w:rPr>
                <w:rFonts w:cs="Arial"/>
                <w:b/>
                <w:szCs w:val="16"/>
              </w:rPr>
            </w:pPr>
            <w:r w:rsidRPr="009F37D6">
              <w:rPr>
                <w:rFonts w:cs="Arial"/>
                <w:b/>
                <w:szCs w:val="16"/>
              </w:rPr>
              <w:t>Outcome A SS1</w:t>
            </w:r>
          </w:p>
        </w:tc>
        <w:tc>
          <w:tcPr>
            <w:tcW w:w="1540" w:type="dxa"/>
          </w:tcPr>
          <w:p w14:paraId="197BD52F" w14:textId="77777777" w:rsidR="009F37D6" w:rsidRPr="009F37D6" w:rsidRDefault="009F37D6" w:rsidP="009F37D6">
            <w:pPr>
              <w:rPr>
                <w:rFonts w:cs="Arial"/>
                <w:b/>
                <w:szCs w:val="16"/>
              </w:rPr>
            </w:pPr>
            <w:r w:rsidRPr="009F37D6">
              <w:rPr>
                <w:rFonts w:cs="Arial"/>
                <w:b/>
                <w:szCs w:val="16"/>
              </w:rPr>
              <w:t>Outcome A SS2</w:t>
            </w:r>
          </w:p>
        </w:tc>
        <w:tc>
          <w:tcPr>
            <w:tcW w:w="1540" w:type="dxa"/>
          </w:tcPr>
          <w:p w14:paraId="3EAE2FCF" w14:textId="77777777" w:rsidR="009F37D6" w:rsidRPr="009F37D6" w:rsidRDefault="009F37D6" w:rsidP="009F37D6">
            <w:pPr>
              <w:rPr>
                <w:rFonts w:cs="Arial"/>
                <w:b/>
                <w:szCs w:val="16"/>
              </w:rPr>
            </w:pPr>
            <w:r w:rsidRPr="009F37D6">
              <w:rPr>
                <w:rFonts w:cs="Arial"/>
                <w:b/>
                <w:szCs w:val="16"/>
              </w:rPr>
              <w:t>Outcome B SS1</w:t>
            </w:r>
          </w:p>
        </w:tc>
        <w:tc>
          <w:tcPr>
            <w:tcW w:w="1540" w:type="dxa"/>
          </w:tcPr>
          <w:p w14:paraId="3B6CF9D5" w14:textId="77777777" w:rsidR="009F37D6" w:rsidRPr="009F37D6" w:rsidRDefault="009F37D6" w:rsidP="009F37D6">
            <w:pPr>
              <w:rPr>
                <w:rFonts w:cs="Arial"/>
                <w:b/>
                <w:szCs w:val="16"/>
              </w:rPr>
            </w:pPr>
            <w:r w:rsidRPr="009F37D6">
              <w:rPr>
                <w:rFonts w:cs="Arial"/>
                <w:b/>
                <w:szCs w:val="16"/>
              </w:rPr>
              <w:t>Outcome B SS2</w:t>
            </w:r>
          </w:p>
        </w:tc>
        <w:tc>
          <w:tcPr>
            <w:tcW w:w="1540" w:type="dxa"/>
          </w:tcPr>
          <w:p w14:paraId="5EB92DDA" w14:textId="77777777" w:rsidR="009F37D6" w:rsidRPr="009F37D6" w:rsidRDefault="009F37D6" w:rsidP="009F37D6">
            <w:pPr>
              <w:rPr>
                <w:rFonts w:cs="Arial"/>
                <w:b/>
                <w:szCs w:val="16"/>
              </w:rPr>
            </w:pPr>
            <w:r w:rsidRPr="009F37D6">
              <w:rPr>
                <w:rFonts w:cs="Arial"/>
                <w:b/>
                <w:szCs w:val="16"/>
              </w:rPr>
              <w:t>Outcome C SS1</w:t>
            </w:r>
          </w:p>
        </w:tc>
        <w:tc>
          <w:tcPr>
            <w:tcW w:w="1540" w:type="dxa"/>
          </w:tcPr>
          <w:p w14:paraId="0120FD5C" w14:textId="77777777" w:rsidR="009F37D6" w:rsidRPr="009F37D6" w:rsidRDefault="009F37D6" w:rsidP="009F37D6">
            <w:pPr>
              <w:rPr>
                <w:rFonts w:cs="Arial"/>
                <w:b/>
                <w:szCs w:val="16"/>
              </w:rPr>
            </w:pPr>
            <w:r w:rsidRPr="009F37D6">
              <w:rPr>
                <w:rFonts w:cs="Arial"/>
                <w:b/>
                <w:szCs w:val="16"/>
              </w:rPr>
              <w:t>Outcome C SS2</w:t>
            </w:r>
          </w:p>
        </w:tc>
      </w:tr>
      <w:tr w:rsidR="009F37D6" w:rsidRPr="009F37D6" w14:paraId="6D70AD4B" w14:textId="77777777" w:rsidTr="009F37D6">
        <w:tc>
          <w:tcPr>
            <w:tcW w:w="1540" w:type="dxa"/>
          </w:tcPr>
          <w:p w14:paraId="613F6D3D" w14:textId="77777777" w:rsidR="009F37D6" w:rsidRPr="009F37D6" w:rsidRDefault="009F37D6" w:rsidP="009F37D6">
            <w:pPr>
              <w:rPr>
                <w:rFonts w:cs="Arial"/>
                <w:b/>
                <w:szCs w:val="16"/>
              </w:rPr>
            </w:pPr>
            <w:r w:rsidRPr="009F37D6">
              <w:rPr>
                <w:rFonts w:cs="Arial"/>
                <w:b/>
                <w:szCs w:val="16"/>
              </w:rPr>
              <w:t>10</w:t>
            </w:r>
          </w:p>
        </w:tc>
        <w:tc>
          <w:tcPr>
            <w:tcW w:w="1540" w:type="dxa"/>
          </w:tcPr>
          <w:p w14:paraId="594E99FF" w14:textId="77777777" w:rsidR="009F37D6" w:rsidRPr="009F37D6" w:rsidRDefault="009F37D6" w:rsidP="009F37D6">
            <w:pPr>
              <w:rPr>
                <w:rFonts w:cs="Arial"/>
                <w:bCs/>
                <w:szCs w:val="16"/>
              </w:rPr>
            </w:pPr>
            <w:r w:rsidRPr="009F37D6">
              <w:rPr>
                <w:rFonts w:cs="Arial"/>
                <w:bCs/>
                <w:szCs w:val="16"/>
              </w:rPr>
              <w:t>46.08%</w:t>
            </w:r>
          </w:p>
        </w:tc>
        <w:tc>
          <w:tcPr>
            <w:tcW w:w="1540" w:type="dxa"/>
          </w:tcPr>
          <w:p w14:paraId="3776A780" w14:textId="77777777" w:rsidR="009F37D6" w:rsidRPr="009F37D6" w:rsidRDefault="009F37D6" w:rsidP="009F37D6">
            <w:pPr>
              <w:rPr>
                <w:rFonts w:cs="Arial"/>
                <w:bCs/>
                <w:szCs w:val="16"/>
              </w:rPr>
            </w:pPr>
            <w:r w:rsidRPr="009F37D6">
              <w:rPr>
                <w:rFonts w:cs="Arial"/>
                <w:bCs/>
                <w:szCs w:val="16"/>
              </w:rPr>
              <w:t>34.56%</w:t>
            </w:r>
          </w:p>
        </w:tc>
        <w:tc>
          <w:tcPr>
            <w:tcW w:w="1540" w:type="dxa"/>
          </w:tcPr>
          <w:p w14:paraId="5E04A780" w14:textId="77777777" w:rsidR="009F37D6" w:rsidRPr="009F37D6" w:rsidRDefault="009F37D6" w:rsidP="009F37D6">
            <w:pPr>
              <w:rPr>
                <w:rFonts w:cs="Arial"/>
                <w:bCs/>
                <w:szCs w:val="16"/>
              </w:rPr>
            </w:pPr>
            <w:r w:rsidRPr="009F37D6">
              <w:rPr>
                <w:rFonts w:cs="Arial"/>
                <w:bCs/>
                <w:szCs w:val="16"/>
              </w:rPr>
              <w:t>54.67%</w:t>
            </w:r>
          </w:p>
        </w:tc>
        <w:tc>
          <w:tcPr>
            <w:tcW w:w="1540" w:type="dxa"/>
          </w:tcPr>
          <w:p w14:paraId="739AB6B5" w14:textId="77777777" w:rsidR="009F37D6" w:rsidRPr="009F37D6" w:rsidRDefault="009F37D6" w:rsidP="009F37D6">
            <w:pPr>
              <w:rPr>
                <w:rFonts w:cs="Arial"/>
                <w:bCs/>
                <w:szCs w:val="16"/>
              </w:rPr>
            </w:pPr>
            <w:r w:rsidRPr="009F37D6">
              <w:rPr>
                <w:rFonts w:cs="Arial"/>
                <w:bCs/>
                <w:szCs w:val="16"/>
              </w:rPr>
              <w:t>27.46%</w:t>
            </w:r>
          </w:p>
        </w:tc>
        <w:tc>
          <w:tcPr>
            <w:tcW w:w="1540" w:type="dxa"/>
          </w:tcPr>
          <w:p w14:paraId="11603C76" w14:textId="77777777" w:rsidR="009F37D6" w:rsidRPr="009F37D6" w:rsidRDefault="009F37D6" w:rsidP="009F37D6">
            <w:pPr>
              <w:rPr>
                <w:rFonts w:cs="Arial"/>
                <w:bCs/>
                <w:szCs w:val="16"/>
              </w:rPr>
            </w:pPr>
            <w:r w:rsidRPr="009F37D6">
              <w:rPr>
                <w:rFonts w:cs="Arial"/>
                <w:bCs/>
                <w:szCs w:val="16"/>
              </w:rPr>
              <w:t>53.10%</w:t>
            </w:r>
          </w:p>
        </w:tc>
        <w:tc>
          <w:tcPr>
            <w:tcW w:w="1540" w:type="dxa"/>
          </w:tcPr>
          <w:p w14:paraId="33FC3457" w14:textId="77777777" w:rsidR="009F37D6" w:rsidRPr="009F37D6" w:rsidRDefault="009F37D6" w:rsidP="009F37D6">
            <w:pPr>
              <w:rPr>
                <w:rFonts w:cs="Arial"/>
                <w:bCs/>
                <w:szCs w:val="16"/>
              </w:rPr>
            </w:pPr>
            <w:r w:rsidRPr="009F37D6">
              <w:rPr>
                <w:rFonts w:cs="Arial"/>
                <w:bCs/>
                <w:szCs w:val="16"/>
              </w:rPr>
              <w:t>33.55%</w:t>
            </w:r>
          </w:p>
        </w:tc>
      </w:tr>
      <w:tr w:rsidR="009F37D6" w:rsidRPr="009F37D6" w14:paraId="5351DBD5" w14:textId="77777777" w:rsidTr="009F37D6">
        <w:tc>
          <w:tcPr>
            <w:tcW w:w="1540" w:type="dxa"/>
          </w:tcPr>
          <w:p w14:paraId="16B4FF39" w14:textId="77777777" w:rsidR="009F37D6" w:rsidRPr="009F37D6" w:rsidRDefault="009F37D6" w:rsidP="009F37D6">
            <w:pPr>
              <w:rPr>
                <w:rFonts w:cs="Arial"/>
                <w:b/>
                <w:szCs w:val="16"/>
              </w:rPr>
            </w:pPr>
            <w:r w:rsidRPr="009F37D6">
              <w:rPr>
                <w:rFonts w:cs="Arial"/>
                <w:b/>
                <w:szCs w:val="16"/>
              </w:rPr>
              <w:t>90</w:t>
            </w:r>
          </w:p>
        </w:tc>
        <w:tc>
          <w:tcPr>
            <w:tcW w:w="1540" w:type="dxa"/>
          </w:tcPr>
          <w:p w14:paraId="38AFF39E" w14:textId="77777777" w:rsidR="009F37D6" w:rsidRPr="009F37D6" w:rsidRDefault="009F37D6" w:rsidP="009F37D6">
            <w:pPr>
              <w:rPr>
                <w:rFonts w:cs="Arial"/>
                <w:bCs/>
                <w:szCs w:val="16"/>
              </w:rPr>
            </w:pPr>
            <w:r w:rsidRPr="009F37D6">
              <w:rPr>
                <w:rFonts w:cs="Arial"/>
                <w:bCs/>
                <w:szCs w:val="16"/>
              </w:rPr>
              <w:t>80.98%</w:t>
            </w:r>
          </w:p>
        </w:tc>
        <w:tc>
          <w:tcPr>
            <w:tcW w:w="1540" w:type="dxa"/>
          </w:tcPr>
          <w:p w14:paraId="5121B9EE" w14:textId="77777777" w:rsidR="009F37D6" w:rsidRPr="009F37D6" w:rsidRDefault="009F37D6" w:rsidP="009F37D6">
            <w:pPr>
              <w:rPr>
                <w:rFonts w:cs="Arial"/>
                <w:bCs/>
                <w:szCs w:val="16"/>
              </w:rPr>
            </w:pPr>
            <w:r w:rsidRPr="009F37D6">
              <w:rPr>
                <w:rFonts w:cs="Arial"/>
                <w:bCs/>
                <w:szCs w:val="16"/>
              </w:rPr>
              <w:t>70.42%</w:t>
            </w:r>
          </w:p>
        </w:tc>
        <w:tc>
          <w:tcPr>
            <w:tcW w:w="1540" w:type="dxa"/>
          </w:tcPr>
          <w:p w14:paraId="15E6CEE2" w14:textId="77777777" w:rsidR="009F37D6" w:rsidRPr="009F37D6" w:rsidRDefault="009F37D6" w:rsidP="009F37D6">
            <w:pPr>
              <w:rPr>
                <w:rFonts w:cs="Arial"/>
                <w:bCs/>
                <w:szCs w:val="16"/>
              </w:rPr>
            </w:pPr>
            <w:r w:rsidRPr="009F37D6">
              <w:rPr>
                <w:rFonts w:cs="Arial"/>
                <w:bCs/>
                <w:szCs w:val="16"/>
              </w:rPr>
              <w:t>82.41%</w:t>
            </w:r>
          </w:p>
        </w:tc>
        <w:tc>
          <w:tcPr>
            <w:tcW w:w="1540" w:type="dxa"/>
          </w:tcPr>
          <w:p w14:paraId="529B6B66" w14:textId="77777777" w:rsidR="009F37D6" w:rsidRPr="009F37D6" w:rsidRDefault="009F37D6" w:rsidP="009F37D6">
            <w:pPr>
              <w:rPr>
                <w:rFonts w:cs="Arial"/>
                <w:bCs/>
                <w:szCs w:val="16"/>
              </w:rPr>
            </w:pPr>
            <w:r w:rsidRPr="009F37D6">
              <w:rPr>
                <w:rFonts w:cs="Arial"/>
                <w:bCs/>
                <w:szCs w:val="16"/>
              </w:rPr>
              <w:t>58.27%</w:t>
            </w:r>
          </w:p>
        </w:tc>
        <w:tc>
          <w:tcPr>
            <w:tcW w:w="1540" w:type="dxa"/>
          </w:tcPr>
          <w:p w14:paraId="2F7403D8" w14:textId="77777777" w:rsidR="009F37D6" w:rsidRPr="009F37D6" w:rsidRDefault="009F37D6" w:rsidP="009F37D6">
            <w:pPr>
              <w:rPr>
                <w:rFonts w:cs="Arial"/>
                <w:bCs/>
                <w:szCs w:val="16"/>
              </w:rPr>
            </w:pPr>
            <w:r w:rsidRPr="009F37D6">
              <w:rPr>
                <w:rFonts w:cs="Arial"/>
                <w:bCs/>
                <w:szCs w:val="16"/>
              </w:rPr>
              <w:t>84.63%</w:t>
            </w:r>
          </w:p>
        </w:tc>
        <w:tc>
          <w:tcPr>
            <w:tcW w:w="1540" w:type="dxa"/>
          </w:tcPr>
          <w:p w14:paraId="10C43C81" w14:textId="77777777" w:rsidR="009F37D6" w:rsidRPr="009F37D6" w:rsidRDefault="009F37D6" w:rsidP="009F37D6">
            <w:pPr>
              <w:rPr>
                <w:rFonts w:cs="Arial"/>
                <w:bCs/>
                <w:szCs w:val="16"/>
              </w:rPr>
            </w:pPr>
            <w:r w:rsidRPr="009F37D6">
              <w:rPr>
                <w:rFonts w:cs="Arial"/>
                <w:bCs/>
                <w:szCs w:val="16"/>
              </w:rPr>
              <w:t>73.68%</w:t>
            </w:r>
          </w:p>
        </w:tc>
      </w:tr>
    </w:tbl>
    <w:p w14:paraId="066B5259" w14:textId="77777777" w:rsidR="009F37D6" w:rsidRPr="009F37D6" w:rsidRDefault="009F37D6" w:rsidP="009F37D6">
      <w:pPr>
        <w:rPr>
          <w:rFonts w:cs="Arial"/>
          <w:b/>
          <w:szCs w:val="16"/>
        </w:rPr>
      </w:pPr>
    </w:p>
    <w:tbl>
      <w:tblPr>
        <w:tblStyle w:val="TableGrid1"/>
        <w:tblW w:w="5006" w:type="pct"/>
        <w:tblLook w:val="04A0" w:firstRow="1" w:lastRow="0" w:firstColumn="1" w:lastColumn="0" w:noHBand="0" w:noVBand="1"/>
        <w:tblCaption w:val="CAPPCSCR"/>
        <w:tblDescription w:val="Data Comparison Score"/>
      </w:tblPr>
      <w:tblGrid>
        <w:gridCol w:w="3163"/>
        <w:gridCol w:w="7640"/>
      </w:tblGrid>
      <w:tr w:rsidR="009F37D6" w:rsidRPr="009F37D6" w14:paraId="07C5CBA1" w14:textId="77777777" w:rsidTr="005B7427">
        <w:tc>
          <w:tcPr>
            <w:tcW w:w="1464" w:type="pct"/>
            <w:hideMark/>
          </w:tcPr>
          <w:p w14:paraId="5E42DD3F" w14:textId="77777777" w:rsidR="009F37D6" w:rsidRPr="009F37D6" w:rsidRDefault="009F37D6" w:rsidP="009F37D6">
            <w:pPr>
              <w:rPr>
                <w:rFonts w:cs="Arial"/>
                <w:b/>
                <w:szCs w:val="16"/>
              </w:rPr>
            </w:pPr>
            <w:r w:rsidRPr="009F37D6">
              <w:rPr>
                <w:rFonts w:cs="Arial"/>
                <w:b/>
                <w:szCs w:val="16"/>
              </w:rPr>
              <w:t>Data Comparison Score</w:t>
            </w:r>
          </w:p>
        </w:tc>
        <w:tc>
          <w:tcPr>
            <w:tcW w:w="3536" w:type="pct"/>
            <w:hideMark/>
          </w:tcPr>
          <w:p w14:paraId="462EAD93" w14:textId="77777777" w:rsidR="009F37D6" w:rsidRPr="009F37D6" w:rsidRDefault="009F37D6" w:rsidP="009F37D6">
            <w:pPr>
              <w:rPr>
                <w:rFonts w:cs="Arial"/>
                <w:b/>
                <w:szCs w:val="16"/>
              </w:rPr>
            </w:pPr>
            <w:r w:rsidRPr="009F37D6">
              <w:rPr>
                <w:rFonts w:cs="Arial"/>
                <w:b/>
                <w:szCs w:val="16"/>
              </w:rPr>
              <w:t>Total Points Received Across SS1 and SS2</w:t>
            </w:r>
          </w:p>
        </w:tc>
      </w:tr>
      <w:tr w:rsidR="009F37D6" w:rsidRPr="009F37D6" w14:paraId="5CCCFDDA" w14:textId="77777777" w:rsidTr="005B7427">
        <w:tc>
          <w:tcPr>
            <w:tcW w:w="1464" w:type="pct"/>
            <w:noWrap/>
            <w:hideMark/>
          </w:tcPr>
          <w:p w14:paraId="4A219031" w14:textId="77777777" w:rsidR="009F37D6" w:rsidRPr="009F37D6" w:rsidRDefault="009F37D6" w:rsidP="009F37D6">
            <w:pPr>
              <w:rPr>
                <w:rFonts w:cs="Arial"/>
                <w:b/>
                <w:szCs w:val="16"/>
              </w:rPr>
            </w:pPr>
            <w:r w:rsidRPr="009F37D6">
              <w:rPr>
                <w:rFonts w:cs="Arial"/>
                <w:b/>
                <w:szCs w:val="16"/>
              </w:rPr>
              <w:t>0</w:t>
            </w:r>
          </w:p>
        </w:tc>
        <w:tc>
          <w:tcPr>
            <w:tcW w:w="3536" w:type="pct"/>
            <w:noWrap/>
            <w:hideMark/>
          </w:tcPr>
          <w:p w14:paraId="04A58431" w14:textId="77777777" w:rsidR="009F37D6" w:rsidRPr="009F37D6" w:rsidRDefault="009F37D6" w:rsidP="009F37D6">
            <w:pPr>
              <w:rPr>
                <w:rFonts w:cs="Arial"/>
                <w:bCs/>
                <w:szCs w:val="16"/>
              </w:rPr>
            </w:pPr>
            <w:r w:rsidRPr="009F37D6">
              <w:rPr>
                <w:rFonts w:cs="Arial"/>
                <w:bCs/>
                <w:szCs w:val="16"/>
              </w:rPr>
              <w:t>0 through 4 points</w:t>
            </w:r>
          </w:p>
        </w:tc>
      </w:tr>
      <w:tr w:rsidR="009F37D6" w:rsidRPr="009F37D6" w14:paraId="4A78BC22" w14:textId="77777777" w:rsidTr="005B7427">
        <w:tc>
          <w:tcPr>
            <w:tcW w:w="1464" w:type="pct"/>
            <w:noWrap/>
            <w:hideMark/>
          </w:tcPr>
          <w:p w14:paraId="3F337AEC" w14:textId="77777777" w:rsidR="009F37D6" w:rsidRPr="009F37D6" w:rsidRDefault="009F37D6" w:rsidP="009F37D6">
            <w:pPr>
              <w:rPr>
                <w:rFonts w:cs="Arial"/>
                <w:b/>
                <w:szCs w:val="16"/>
              </w:rPr>
            </w:pPr>
            <w:r w:rsidRPr="009F37D6">
              <w:rPr>
                <w:rFonts w:cs="Arial"/>
                <w:b/>
                <w:szCs w:val="16"/>
              </w:rPr>
              <w:t>1</w:t>
            </w:r>
          </w:p>
        </w:tc>
        <w:tc>
          <w:tcPr>
            <w:tcW w:w="3536" w:type="pct"/>
            <w:noWrap/>
            <w:hideMark/>
          </w:tcPr>
          <w:p w14:paraId="34FF8AB3" w14:textId="77777777" w:rsidR="009F37D6" w:rsidRPr="009F37D6" w:rsidRDefault="009F37D6" w:rsidP="009F37D6">
            <w:pPr>
              <w:rPr>
                <w:rFonts w:cs="Arial"/>
                <w:bCs/>
                <w:szCs w:val="16"/>
              </w:rPr>
            </w:pPr>
            <w:r w:rsidRPr="009F37D6">
              <w:rPr>
                <w:rFonts w:cs="Arial"/>
                <w:bCs/>
                <w:szCs w:val="16"/>
              </w:rPr>
              <w:t>5 through 8 points</w:t>
            </w:r>
          </w:p>
        </w:tc>
      </w:tr>
      <w:tr w:rsidR="009F37D6" w:rsidRPr="009F37D6" w14:paraId="5C9A633E" w14:textId="77777777" w:rsidTr="005B7427">
        <w:tc>
          <w:tcPr>
            <w:tcW w:w="1464" w:type="pct"/>
            <w:noWrap/>
            <w:hideMark/>
          </w:tcPr>
          <w:p w14:paraId="14D64CA8" w14:textId="77777777" w:rsidR="009F37D6" w:rsidRPr="009F37D6" w:rsidRDefault="009F37D6" w:rsidP="009F37D6">
            <w:pPr>
              <w:rPr>
                <w:rFonts w:cs="Arial"/>
                <w:b/>
                <w:szCs w:val="16"/>
              </w:rPr>
            </w:pPr>
            <w:r w:rsidRPr="009F37D6">
              <w:rPr>
                <w:rFonts w:cs="Arial"/>
                <w:b/>
                <w:szCs w:val="16"/>
              </w:rPr>
              <w:t>2</w:t>
            </w:r>
          </w:p>
        </w:tc>
        <w:tc>
          <w:tcPr>
            <w:tcW w:w="3536" w:type="pct"/>
            <w:noWrap/>
            <w:hideMark/>
          </w:tcPr>
          <w:p w14:paraId="7C477682" w14:textId="77777777" w:rsidR="009F37D6" w:rsidRPr="009F37D6" w:rsidRDefault="009F37D6" w:rsidP="009F37D6">
            <w:pPr>
              <w:rPr>
                <w:rFonts w:cs="Arial"/>
                <w:bCs/>
                <w:szCs w:val="16"/>
              </w:rPr>
            </w:pPr>
            <w:r w:rsidRPr="009F37D6">
              <w:rPr>
                <w:rFonts w:cs="Arial"/>
                <w:bCs/>
                <w:szCs w:val="16"/>
              </w:rPr>
              <w:t>9 through 12 points</w:t>
            </w:r>
          </w:p>
        </w:tc>
      </w:tr>
    </w:tbl>
    <w:p w14:paraId="69838966" w14:textId="77777777" w:rsidR="00A67CEE" w:rsidRDefault="00A67CEE" w:rsidP="009F37D6">
      <w:pPr>
        <w:rPr>
          <w:rFonts w:cs="Arial"/>
          <w:b/>
          <w:bCs/>
          <w:szCs w:val="16"/>
        </w:rPr>
      </w:pPr>
    </w:p>
    <w:p w14:paraId="29DE31D8" w14:textId="6DF6DBB3" w:rsidR="009F37D6" w:rsidRPr="009F37D6" w:rsidRDefault="009F37D6" w:rsidP="009F37D6">
      <w:pPr>
        <w:rPr>
          <w:rFonts w:cs="Arial"/>
          <w:b/>
          <w:bCs/>
          <w:szCs w:val="16"/>
        </w:rPr>
      </w:pPr>
      <w:r w:rsidRPr="009F37D6">
        <w:rPr>
          <w:rFonts w:cs="Arial"/>
          <w:b/>
          <w:bCs/>
          <w:szCs w:val="16"/>
        </w:rPr>
        <w:t>Your State’s Summary Statement Performance FFY 2023</w:t>
      </w:r>
    </w:p>
    <w:tbl>
      <w:tblPr>
        <w:tblStyle w:val="TableGrid1"/>
        <w:tblW w:w="10790" w:type="dxa"/>
        <w:tblLayout w:type="fixed"/>
        <w:tblLook w:val="04A0" w:firstRow="1" w:lastRow="0" w:firstColumn="1" w:lastColumn="0" w:noHBand="0" w:noVBand="1"/>
        <w:tblCaption w:val="C03STESSP"/>
      </w:tblPr>
      <w:tblGrid>
        <w:gridCol w:w="1541"/>
        <w:gridCol w:w="1541"/>
        <w:gridCol w:w="1542"/>
        <w:gridCol w:w="1541"/>
        <w:gridCol w:w="1542"/>
        <w:gridCol w:w="1541"/>
        <w:gridCol w:w="1542"/>
      </w:tblGrid>
      <w:tr w:rsidR="009F37D6" w:rsidRPr="009F37D6" w14:paraId="004F0D78" w14:textId="77777777" w:rsidTr="004A2E39">
        <w:trPr>
          <w:tblHeader/>
        </w:trPr>
        <w:tc>
          <w:tcPr>
            <w:tcW w:w="1541" w:type="dxa"/>
          </w:tcPr>
          <w:p w14:paraId="4C2AE9A9" w14:textId="77777777" w:rsidR="009F37D6" w:rsidRPr="009F37D6" w:rsidRDefault="009F37D6" w:rsidP="009F37D6">
            <w:pPr>
              <w:rPr>
                <w:rFonts w:cs="Arial"/>
                <w:b/>
                <w:szCs w:val="16"/>
              </w:rPr>
            </w:pPr>
            <w:r w:rsidRPr="009F37D6">
              <w:rPr>
                <w:rFonts w:cs="Arial"/>
                <w:b/>
                <w:szCs w:val="16"/>
              </w:rPr>
              <w:t>Summary Statement (SS)</w:t>
            </w:r>
          </w:p>
        </w:tc>
        <w:tc>
          <w:tcPr>
            <w:tcW w:w="1541" w:type="dxa"/>
          </w:tcPr>
          <w:p w14:paraId="2552C918" w14:textId="77777777" w:rsidR="009F37D6" w:rsidRPr="009F37D6" w:rsidRDefault="009F37D6" w:rsidP="009F37D6">
            <w:pPr>
              <w:rPr>
                <w:rFonts w:cs="Arial"/>
                <w:b/>
                <w:szCs w:val="16"/>
              </w:rPr>
            </w:pPr>
            <w:r w:rsidRPr="009F37D6">
              <w:rPr>
                <w:rFonts w:cs="Arial"/>
                <w:b/>
                <w:szCs w:val="16"/>
              </w:rPr>
              <w:t>Outcome A: Positive Social Relationships SS1</w:t>
            </w:r>
          </w:p>
        </w:tc>
        <w:tc>
          <w:tcPr>
            <w:tcW w:w="1542" w:type="dxa"/>
          </w:tcPr>
          <w:p w14:paraId="73F9693E" w14:textId="77777777" w:rsidR="009F37D6" w:rsidRPr="009F37D6" w:rsidRDefault="009F37D6" w:rsidP="009F37D6">
            <w:pPr>
              <w:rPr>
                <w:rFonts w:cs="Arial"/>
                <w:b/>
                <w:szCs w:val="16"/>
              </w:rPr>
            </w:pPr>
            <w:r w:rsidRPr="009F37D6">
              <w:rPr>
                <w:rFonts w:cs="Arial"/>
                <w:b/>
                <w:szCs w:val="16"/>
              </w:rPr>
              <w:t>Outcome A: Positive Social Relationships SS2</w:t>
            </w:r>
          </w:p>
        </w:tc>
        <w:tc>
          <w:tcPr>
            <w:tcW w:w="1541" w:type="dxa"/>
          </w:tcPr>
          <w:p w14:paraId="42477353" w14:textId="77777777" w:rsidR="009F37D6" w:rsidRPr="009F37D6" w:rsidRDefault="009F37D6" w:rsidP="009F37D6">
            <w:pPr>
              <w:rPr>
                <w:rFonts w:cs="Arial"/>
                <w:b/>
                <w:szCs w:val="16"/>
              </w:rPr>
            </w:pPr>
            <w:r w:rsidRPr="009F37D6">
              <w:rPr>
                <w:rFonts w:cs="Arial"/>
                <w:b/>
                <w:szCs w:val="16"/>
              </w:rPr>
              <w:t>Outcome B: Knowledge and Skills SS1</w:t>
            </w:r>
          </w:p>
        </w:tc>
        <w:tc>
          <w:tcPr>
            <w:tcW w:w="1542" w:type="dxa"/>
          </w:tcPr>
          <w:p w14:paraId="4A1FFE1C" w14:textId="77777777" w:rsidR="009F37D6" w:rsidRPr="009F37D6" w:rsidRDefault="009F37D6" w:rsidP="009F37D6">
            <w:pPr>
              <w:rPr>
                <w:rFonts w:cs="Arial"/>
                <w:b/>
                <w:szCs w:val="16"/>
              </w:rPr>
            </w:pPr>
            <w:r w:rsidRPr="009F37D6">
              <w:rPr>
                <w:rFonts w:cs="Arial"/>
                <w:b/>
                <w:szCs w:val="16"/>
              </w:rPr>
              <w:t>Outcome B: Knowledge and Skills SS2</w:t>
            </w:r>
          </w:p>
        </w:tc>
        <w:tc>
          <w:tcPr>
            <w:tcW w:w="1541" w:type="dxa"/>
          </w:tcPr>
          <w:p w14:paraId="48645289" w14:textId="77777777" w:rsidR="009F37D6" w:rsidRPr="009F37D6" w:rsidRDefault="009F37D6" w:rsidP="009F37D6">
            <w:pPr>
              <w:rPr>
                <w:rFonts w:cs="Arial"/>
                <w:b/>
                <w:szCs w:val="16"/>
              </w:rPr>
            </w:pPr>
            <w:r w:rsidRPr="009F37D6">
              <w:rPr>
                <w:rFonts w:cs="Arial"/>
                <w:b/>
                <w:szCs w:val="16"/>
              </w:rPr>
              <w:t>Outcome C: Actions to meet needs SS1</w:t>
            </w:r>
          </w:p>
        </w:tc>
        <w:tc>
          <w:tcPr>
            <w:tcW w:w="1542" w:type="dxa"/>
          </w:tcPr>
          <w:p w14:paraId="4BBF2DDB" w14:textId="77777777" w:rsidR="009F37D6" w:rsidRPr="009F37D6" w:rsidRDefault="009F37D6" w:rsidP="009F37D6">
            <w:pPr>
              <w:rPr>
                <w:rFonts w:cs="Arial"/>
                <w:b/>
                <w:szCs w:val="16"/>
              </w:rPr>
            </w:pPr>
            <w:r w:rsidRPr="009F37D6">
              <w:rPr>
                <w:rFonts w:cs="Arial"/>
                <w:b/>
                <w:szCs w:val="16"/>
              </w:rPr>
              <w:t>Outcome C: Actions to meet needs SS2</w:t>
            </w:r>
          </w:p>
        </w:tc>
      </w:tr>
      <w:tr w:rsidR="009F37D6" w:rsidRPr="009F37D6" w14:paraId="7D8923E2" w14:textId="77777777" w:rsidTr="00B80BA1">
        <w:tc>
          <w:tcPr>
            <w:tcW w:w="1541" w:type="dxa"/>
          </w:tcPr>
          <w:p w14:paraId="73C45F13" w14:textId="77777777" w:rsidR="009F37D6" w:rsidRPr="009F37D6" w:rsidRDefault="009F37D6" w:rsidP="009F37D6">
            <w:pPr>
              <w:rPr>
                <w:rFonts w:cs="Arial"/>
                <w:b/>
                <w:szCs w:val="16"/>
              </w:rPr>
            </w:pPr>
            <w:r w:rsidRPr="009F37D6">
              <w:rPr>
                <w:rFonts w:cs="Arial"/>
                <w:b/>
                <w:szCs w:val="16"/>
              </w:rPr>
              <w:t>Performance (%)</w:t>
            </w:r>
          </w:p>
        </w:tc>
        <w:tc>
          <w:tcPr>
            <w:tcW w:w="1541" w:type="dxa"/>
          </w:tcPr>
          <w:p w14:paraId="4F805BBB" w14:textId="7CC98BA7" w:rsidR="009F37D6" w:rsidRPr="009F37D6" w:rsidRDefault="009F37D6" w:rsidP="009F37D6">
            <w:pPr>
              <w:rPr>
                <w:rFonts w:cs="Arial"/>
                <w:bCs/>
                <w:szCs w:val="16"/>
              </w:rPr>
            </w:pPr>
            <w:r w:rsidRPr="009F37D6">
              <w:rPr>
                <w:rFonts w:cs="Arial"/>
                <w:bCs/>
                <w:szCs w:val="16"/>
              </w:rPr>
              <w:t>40.09%</w:t>
            </w:r>
          </w:p>
        </w:tc>
        <w:tc>
          <w:tcPr>
            <w:tcW w:w="1542" w:type="dxa"/>
          </w:tcPr>
          <w:p w14:paraId="0A4BF884" w14:textId="147273C9" w:rsidR="009F37D6" w:rsidRPr="009F37D6" w:rsidRDefault="009F37D6" w:rsidP="009F37D6">
            <w:pPr>
              <w:rPr>
                <w:rFonts w:cs="Arial"/>
                <w:bCs/>
                <w:szCs w:val="16"/>
              </w:rPr>
            </w:pPr>
            <w:r w:rsidRPr="009F37D6">
              <w:rPr>
                <w:rFonts w:cs="Arial"/>
                <w:bCs/>
                <w:szCs w:val="16"/>
              </w:rPr>
              <w:t>65.42%</w:t>
            </w:r>
          </w:p>
        </w:tc>
        <w:tc>
          <w:tcPr>
            <w:tcW w:w="1541" w:type="dxa"/>
          </w:tcPr>
          <w:p w14:paraId="1F89A2CB" w14:textId="2D305F3C" w:rsidR="009F37D6" w:rsidRPr="009F37D6" w:rsidRDefault="009F37D6" w:rsidP="009F37D6">
            <w:pPr>
              <w:rPr>
                <w:rFonts w:cs="Arial"/>
                <w:bCs/>
                <w:szCs w:val="16"/>
              </w:rPr>
            </w:pPr>
            <w:r w:rsidRPr="009F37D6">
              <w:rPr>
                <w:rFonts w:cs="Arial"/>
                <w:bCs/>
                <w:szCs w:val="16"/>
              </w:rPr>
              <w:t>68.84%</w:t>
            </w:r>
          </w:p>
        </w:tc>
        <w:tc>
          <w:tcPr>
            <w:tcW w:w="1542" w:type="dxa"/>
          </w:tcPr>
          <w:p w14:paraId="7E36FA1E" w14:textId="3FFCA954" w:rsidR="009F37D6" w:rsidRPr="009F37D6" w:rsidRDefault="009F37D6" w:rsidP="009F37D6">
            <w:pPr>
              <w:rPr>
                <w:rFonts w:cs="Arial"/>
                <w:bCs/>
                <w:szCs w:val="16"/>
              </w:rPr>
            </w:pPr>
            <w:r w:rsidRPr="009F37D6">
              <w:rPr>
                <w:rFonts w:cs="Arial"/>
                <w:bCs/>
                <w:szCs w:val="16"/>
              </w:rPr>
              <w:t>26.58%</w:t>
            </w:r>
          </w:p>
        </w:tc>
        <w:tc>
          <w:tcPr>
            <w:tcW w:w="1541" w:type="dxa"/>
          </w:tcPr>
          <w:p w14:paraId="1E264FD4" w14:textId="18CA2277" w:rsidR="009F37D6" w:rsidRPr="009F37D6" w:rsidRDefault="009F37D6" w:rsidP="009F37D6">
            <w:pPr>
              <w:rPr>
                <w:rFonts w:cs="Arial"/>
                <w:bCs/>
                <w:szCs w:val="16"/>
              </w:rPr>
            </w:pPr>
            <w:r w:rsidRPr="009F37D6">
              <w:rPr>
                <w:rFonts w:cs="Arial"/>
                <w:bCs/>
                <w:szCs w:val="16"/>
              </w:rPr>
              <w:t>84.64%</w:t>
            </w:r>
          </w:p>
        </w:tc>
        <w:tc>
          <w:tcPr>
            <w:tcW w:w="1542" w:type="dxa"/>
          </w:tcPr>
          <w:p w14:paraId="3ED14677" w14:textId="0D242C98" w:rsidR="009F37D6" w:rsidRPr="009F37D6" w:rsidRDefault="009F37D6" w:rsidP="009F37D6">
            <w:pPr>
              <w:rPr>
                <w:rFonts w:cs="Arial"/>
                <w:bCs/>
                <w:szCs w:val="16"/>
              </w:rPr>
            </w:pPr>
            <w:r w:rsidRPr="009F37D6">
              <w:rPr>
                <w:rFonts w:cs="Arial"/>
                <w:bCs/>
                <w:szCs w:val="16"/>
              </w:rPr>
              <w:t>49.37%</w:t>
            </w:r>
          </w:p>
        </w:tc>
      </w:tr>
      <w:tr w:rsidR="009F37D6" w:rsidRPr="009F37D6" w14:paraId="5BB68048" w14:textId="77777777" w:rsidTr="00B80BA1">
        <w:tc>
          <w:tcPr>
            <w:tcW w:w="1541" w:type="dxa"/>
          </w:tcPr>
          <w:p w14:paraId="1132A172" w14:textId="77777777" w:rsidR="009F37D6" w:rsidRPr="009F37D6" w:rsidRDefault="009F37D6" w:rsidP="009F37D6">
            <w:pPr>
              <w:rPr>
                <w:rFonts w:cs="Arial"/>
                <w:b/>
                <w:szCs w:val="16"/>
              </w:rPr>
            </w:pPr>
            <w:r w:rsidRPr="009F37D6">
              <w:rPr>
                <w:rFonts w:cs="Arial"/>
                <w:b/>
                <w:szCs w:val="16"/>
              </w:rPr>
              <w:t>Points</w:t>
            </w:r>
          </w:p>
        </w:tc>
        <w:tc>
          <w:tcPr>
            <w:tcW w:w="1541" w:type="dxa"/>
          </w:tcPr>
          <w:p w14:paraId="5E684E21" w14:textId="77777777" w:rsidR="009F37D6" w:rsidRPr="009F37D6" w:rsidRDefault="009F37D6" w:rsidP="009F37D6">
            <w:pPr>
              <w:rPr>
                <w:rFonts w:cs="Arial"/>
                <w:bCs/>
                <w:szCs w:val="16"/>
              </w:rPr>
            </w:pPr>
            <w:r w:rsidRPr="009F37D6">
              <w:rPr>
                <w:rFonts w:cs="Arial"/>
                <w:bCs/>
                <w:szCs w:val="16"/>
              </w:rPr>
              <w:t>0</w:t>
            </w:r>
          </w:p>
        </w:tc>
        <w:tc>
          <w:tcPr>
            <w:tcW w:w="1542" w:type="dxa"/>
          </w:tcPr>
          <w:p w14:paraId="628A3F46" w14:textId="77777777" w:rsidR="009F37D6" w:rsidRPr="009F37D6" w:rsidRDefault="009F37D6" w:rsidP="009F37D6">
            <w:pPr>
              <w:rPr>
                <w:rFonts w:cs="Arial"/>
                <w:bCs/>
                <w:szCs w:val="16"/>
              </w:rPr>
            </w:pPr>
            <w:r w:rsidRPr="009F37D6">
              <w:rPr>
                <w:rFonts w:cs="Arial"/>
                <w:bCs/>
                <w:szCs w:val="16"/>
              </w:rPr>
              <w:t>1</w:t>
            </w:r>
          </w:p>
        </w:tc>
        <w:tc>
          <w:tcPr>
            <w:tcW w:w="1541" w:type="dxa"/>
          </w:tcPr>
          <w:p w14:paraId="6CAA40DC" w14:textId="77777777" w:rsidR="009F37D6" w:rsidRPr="009F37D6" w:rsidRDefault="009F37D6" w:rsidP="009F37D6">
            <w:pPr>
              <w:rPr>
                <w:rFonts w:cs="Arial"/>
                <w:bCs/>
                <w:szCs w:val="16"/>
              </w:rPr>
            </w:pPr>
            <w:r w:rsidRPr="009F37D6">
              <w:rPr>
                <w:rFonts w:cs="Arial"/>
                <w:bCs/>
                <w:szCs w:val="16"/>
              </w:rPr>
              <w:t>1</w:t>
            </w:r>
          </w:p>
        </w:tc>
        <w:tc>
          <w:tcPr>
            <w:tcW w:w="1542" w:type="dxa"/>
          </w:tcPr>
          <w:p w14:paraId="5A872F5B" w14:textId="77777777" w:rsidR="009F37D6" w:rsidRPr="009F37D6" w:rsidRDefault="009F37D6" w:rsidP="009F37D6">
            <w:pPr>
              <w:rPr>
                <w:rFonts w:cs="Arial"/>
                <w:bCs/>
                <w:szCs w:val="16"/>
              </w:rPr>
            </w:pPr>
            <w:r w:rsidRPr="009F37D6">
              <w:rPr>
                <w:rFonts w:cs="Arial"/>
                <w:bCs/>
                <w:szCs w:val="16"/>
              </w:rPr>
              <w:t>0</w:t>
            </w:r>
          </w:p>
        </w:tc>
        <w:tc>
          <w:tcPr>
            <w:tcW w:w="1541" w:type="dxa"/>
          </w:tcPr>
          <w:p w14:paraId="0F30A495" w14:textId="77777777" w:rsidR="009F37D6" w:rsidRPr="009F37D6" w:rsidRDefault="009F37D6" w:rsidP="009F37D6">
            <w:pPr>
              <w:rPr>
                <w:rFonts w:cs="Arial"/>
                <w:bCs/>
                <w:szCs w:val="16"/>
              </w:rPr>
            </w:pPr>
            <w:r w:rsidRPr="009F37D6">
              <w:rPr>
                <w:rFonts w:cs="Arial"/>
                <w:bCs/>
                <w:szCs w:val="16"/>
              </w:rPr>
              <w:t>2</w:t>
            </w:r>
          </w:p>
        </w:tc>
        <w:tc>
          <w:tcPr>
            <w:tcW w:w="1542" w:type="dxa"/>
          </w:tcPr>
          <w:p w14:paraId="58269888" w14:textId="77777777" w:rsidR="009F37D6" w:rsidRPr="009F37D6" w:rsidRDefault="009F37D6" w:rsidP="009F37D6">
            <w:pPr>
              <w:rPr>
                <w:rFonts w:cs="Arial"/>
                <w:bCs/>
                <w:szCs w:val="16"/>
              </w:rPr>
            </w:pPr>
            <w:r w:rsidRPr="009F37D6">
              <w:rPr>
                <w:rFonts w:cs="Arial"/>
                <w:bCs/>
                <w:szCs w:val="16"/>
              </w:rPr>
              <w:t>1</w:t>
            </w:r>
          </w:p>
        </w:tc>
      </w:tr>
    </w:tbl>
    <w:p w14:paraId="0364330F" w14:textId="77777777" w:rsidR="009F37D6" w:rsidRPr="009F37D6" w:rsidRDefault="009F37D6" w:rsidP="009F37D6">
      <w:pPr>
        <w:rPr>
          <w:rFonts w:cs="Arial"/>
          <w:b/>
          <w:szCs w:val="16"/>
        </w:rPr>
      </w:pPr>
    </w:p>
    <w:tbl>
      <w:tblPr>
        <w:tblStyle w:val="TableGrid1"/>
        <w:tblW w:w="10800" w:type="dxa"/>
        <w:tblLook w:val="04A0" w:firstRow="1" w:lastRow="0" w:firstColumn="1" w:lastColumn="0" w:noHBand="0" w:noVBand="1"/>
        <w:tblCaption w:val="C03SSPTPFNL"/>
      </w:tblPr>
      <w:tblGrid>
        <w:gridCol w:w="5400"/>
        <w:gridCol w:w="5400"/>
      </w:tblGrid>
      <w:tr w:rsidR="009F37D6" w:rsidRPr="009F37D6" w14:paraId="59592056" w14:textId="77777777" w:rsidTr="00B80BA1">
        <w:tc>
          <w:tcPr>
            <w:tcW w:w="5400" w:type="dxa"/>
          </w:tcPr>
          <w:p w14:paraId="36078551" w14:textId="19581992" w:rsidR="009F37D6" w:rsidRPr="009F37D6" w:rsidRDefault="009F37D6" w:rsidP="009F37D6">
            <w:pPr>
              <w:rPr>
                <w:rFonts w:cs="Arial"/>
                <w:b/>
                <w:szCs w:val="16"/>
              </w:rPr>
            </w:pPr>
            <w:r w:rsidRPr="009F37D6">
              <w:rPr>
                <w:rFonts w:cs="Arial"/>
                <w:b/>
                <w:szCs w:val="16"/>
              </w:rPr>
              <w:t>Total Points Across SS1 and SS2</w:t>
            </w:r>
          </w:p>
        </w:tc>
        <w:tc>
          <w:tcPr>
            <w:tcW w:w="5400" w:type="dxa"/>
          </w:tcPr>
          <w:p w14:paraId="5992371C" w14:textId="77777777" w:rsidR="009F37D6" w:rsidRPr="009F37D6" w:rsidRDefault="009F37D6" w:rsidP="009F37D6">
            <w:pPr>
              <w:rPr>
                <w:rFonts w:cs="Arial"/>
                <w:bCs/>
                <w:szCs w:val="16"/>
              </w:rPr>
            </w:pPr>
            <w:r w:rsidRPr="009F37D6">
              <w:rPr>
                <w:rFonts w:cs="Arial"/>
                <w:bCs/>
                <w:szCs w:val="16"/>
              </w:rPr>
              <w:t>5</w:t>
            </w:r>
          </w:p>
        </w:tc>
      </w:tr>
    </w:tbl>
    <w:p w14:paraId="4B3A640D" w14:textId="77777777" w:rsidR="009F37D6" w:rsidRPr="009F37D6" w:rsidRDefault="009F37D6" w:rsidP="009F37D6">
      <w:pPr>
        <w:rPr>
          <w:rFonts w:cs="Arial"/>
          <w:b/>
          <w:szCs w:val="16"/>
        </w:rPr>
      </w:pPr>
    </w:p>
    <w:tbl>
      <w:tblPr>
        <w:tblStyle w:val="TableGrid1"/>
        <w:tblW w:w="10800" w:type="dxa"/>
        <w:tblLook w:val="04A0" w:firstRow="1" w:lastRow="0" w:firstColumn="1" w:lastColumn="0" w:noHBand="0" w:noVBand="1"/>
        <w:tblCaption w:val="C03STECOMPFNL"/>
      </w:tblPr>
      <w:tblGrid>
        <w:gridCol w:w="5400"/>
        <w:gridCol w:w="5400"/>
      </w:tblGrid>
      <w:tr w:rsidR="009F37D6" w:rsidRPr="009F37D6" w14:paraId="4E1197DE" w14:textId="77777777" w:rsidTr="00B80BA1">
        <w:tc>
          <w:tcPr>
            <w:tcW w:w="5400" w:type="dxa"/>
          </w:tcPr>
          <w:p w14:paraId="1A1D1447" w14:textId="77777777" w:rsidR="009F37D6" w:rsidRPr="009F37D6" w:rsidRDefault="009F37D6" w:rsidP="009F37D6">
            <w:pPr>
              <w:rPr>
                <w:rFonts w:cs="Arial"/>
                <w:b/>
                <w:szCs w:val="16"/>
              </w:rPr>
            </w:pPr>
            <w:r w:rsidRPr="009F37D6">
              <w:rPr>
                <w:rFonts w:cs="Arial"/>
                <w:b/>
                <w:szCs w:val="16"/>
              </w:rPr>
              <w:t>Your State’s Data Comparison Score</w:t>
            </w:r>
          </w:p>
        </w:tc>
        <w:tc>
          <w:tcPr>
            <w:tcW w:w="5400" w:type="dxa"/>
          </w:tcPr>
          <w:p w14:paraId="689F9B31" w14:textId="77777777" w:rsidR="009F37D6" w:rsidRPr="009F37D6" w:rsidRDefault="009F37D6" w:rsidP="009F37D6">
            <w:pPr>
              <w:rPr>
                <w:rFonts w:cs="Arial"/>
                <w:bCs/>
                <w:szCs w:val="16"/>
              </w:rPr>
            </w:pPr>
            <w:r w:rsidRPr="009F37D6">
              <w:rPr>
                <w:rFonts w:cs="Arial"/>
                <w:bCs/>
                <w:szCs w:val="16"/>
              </w:rPr>
              <w:t>1</w:t>
            </w:r>
          </w:p>
        </w:tc>
      </w:tr>
    </w:tbl>
    <w:p w14:paraId="5B723B46" w14:textId="07471B67" w:rsidR="002E52E1" w:rsidRDefault="002E52E1" w:rsidP="001E51FC">
      <w:pPr>
        <w:rPr>
          <w:rFonts w:cs="Arial"/>
          <w:b/>
          <w:bCs/>
          <w:szCs w:val="16"/>
        </w:rPr>
      </w:pPr>
    </w:p>
    <w:p w14:paraId="691FE2A7" w14:textId="7F3ECCF1" w:rsidR="006D2754" w:rsidRDefault="002E52E1" w:rsidP="002E52E1">
      <w:pPr>
        <w:spacing w:before="0" w:after="200" w:line="276" w:lineRule="auto"/>
        <w:rPr>
          <w:rFonts w:cs="Arial"/>
          <w:b/>
          <w:bCs/>
          <w:szCs w:val="16"/>
        </w:rPr>
      </w:pPr>
      <w:r>
        <w:rPr>
          <w:rFonts w:cs="Arial"/>
          <w:b/>
          <w:bCs/>
          <w:szCs w:val="16"/>
        </w:rPr>
        <w:br w:type="page"/>
      </w:r>
    </w:p>
    <w:p w14:paraId="0FC96435" w14:textId="4858C119" w:rsidR="001E51FC" w:rsidRPr="001E51FC" w:rsidRDefault="001E51FC" w:rsidP="001E51FC">
      <w:pPr>
        <w:rPr>
          <w:rFonts w:cs="Arial"/>
          <w:b/>
          <w:bCs/>
          <w:szCs w:val="16"/>
        </w:rPr>
      </w:pPr>
      <w:r w:rsidRPr="001E51FC">
        <w:rPr>
          <w:rFonts w:cs="Arial"/>
          <w:b/>
          <w:bCs/>
          <w:szCs w:val="16"/>
        </w:rPr>
        <w:lastRenderedPageBreak/>
        <w:t>Appendix D</w:t>
      </w:r>
    </w:p>
    <w:p w14:paraId="5F13077F" w14:textId="77777777" w:rsidR="00A67CEE" w:rsidRDefault="00A67CEE" w:rsidP="001E51FC">
      <w:pPr>
        <w:rPr>
          <w:rFonts w:cs="Arial"/>
          <w:b/>
          <w:bCs/>
          <w:szCs w:val="16"/>
        </w:rPr>
      </w:pPr>
    </w:p>
    <w:p w14:paraId="763323B9" w14:textId="77777777" w:rsidR="00A67CEE" w:rsidRDefault="001E51FC" w:rsidP="001E51FC">
      <w:pPr>
        <w:rPr>
          <w:rFonts w:cs="Arial"/>
          <w:b/>
          <w:bCs/>
          <w:szCs w:val="16"/>
        </w:rPr>
      </w:pPr>
      <w:r w:rsidRPr="001E51FC">
        <w:rPr>
          <w:rFonts w:cs="Arial"/>
          <w:b/>
          <w:bCs/>
          <w:szCs w:val="16"/>
        </w:rPr>
        <w:t xml:space="preserve">II. (b) Performance Change Over Time: </w:t>
      </w:r>
    </w:p>
    <w:p w14:paraId="3C16071E" w14:textId="37AA2DB4" w:rsidR="001E51FC" w:rsidRPr="001E51FC" w:rsidRDefault="001E51FC" w:rsidP="001E51FC">
      <w:pPr>
        <w:rPr>
          <w:rFonts w:cs="Arial"/>
          <w:b/>
          <w:bCs/>
          <w:szCs w:val="16"/>
        </w:rPr>
      </w:pPr>
      <w:r w:rsidRPr="001E51FC">
        <w:rPr>
          <w:rFonts w:cs="Arial"/>
          <w:b/>
          <w:bCs/>
          <w:szCs w:val="16"/>
        </w:rPr>
        <w:t>Comparing your State’s FFY 2023 data to your State’s FFY 2022 data</w:t>
      </w:r>
    </w:p>
    <w:p w14:paraId="341BD6C7" w14:textId="449C36D5" w:rsidR="001E51FC" w:rsidRPr="00A67CEE" w:rsidRDefault="001E51FC" w:rsidP="001E51FC">
      <w:pPr>
        <w:rPr>
          <w:rFonts w:cs="Arial"/>
          <w:bCs/>
          <w:szCs w:val="16"/>
        </w:rPr>
      </w:pPr>
      <w:r w:rsidRPr="00A67CEE">
        <w:rPr>
          <w:rFonts w:cs="Arial"/>
          <w:bCs/>
          <w:szCs w:val="16"/>
        </w:rPr>
        <w:t>The Summary Statement percentages in each Outcomes Area from the previous year’s reporting (FFY 2022) is compared to the current year (FFY 2023) using the test of proportional difference to determine whether there is a statistically significant (or meaningful) growth or decline in child achievement based upon a significance level of p&lt;=.05. The data in each Outcome Area is assigned a value of 0 if there was a statistically significant decrease from one year to the next, a value of 1 if there was no significant change, and a value of 2 if there was a statistically significant increase across the years. The scores from all 6 Outcome Areas are totaled, resulting in a score from 0 – 12. The Overall Performance Change Score for this results element of ‘0’, ‘1’, or ‘2’ for each State is based on the total points awarded. Where OSEP has approved a State’s reestablishment of its Indicator C3 Outcome Area baseline data the State received a score of ‘N/A’ for this element.</w:t>
      </w:r>
    </w:p>
    <w:p w14:paraId="6CB65421" w14:textId="77777777" w:rsidR="00A67CEE" w:rsidRDefault="00A67CEE" w:rsidP="001E51FC">
      <w:pPr>
        <w:rPr>
          <w:rFonts w:cs="Arial"/>
          <w:b/>
          <w:bCs/>
          <w:szCs w:val="16"/>
        </w:rPr>
      </w:pPr>
    </w:p>
    <w:p w14:paraId="2B0B51B5" w14:textId="6E707E9E" w:rsidR="001E51FC" w:rsidRPr="001E51FC" w:rsidRDefault="001E51FC" w:rsidP="001E51FC">
      <w:pPr>
        <w:rPr>
          <w:rFonts w:cs="Arial"/>
          <w:b/>
          <w:bCs/>
          <w:szCs w:val="16"/>
        </w:rPr>
      </w:pPr>
      <w:r w:rsidRPr="001E51FC">
        <w:rPr>
          <w:rFonts w:cs="Arial"/>
          <w:b/>
          <w:bCs/>
          <w:szCs w:val="16"/>
        </w:rPr>
        <w:t>Test of Proportional Difference Calculation Overview</w:t>
      </w:r>
    </w:p>
    <w:p w14:paraId="6C4A562E" w14:textId="6480A402" w:rsidR="001E51FC" w:rsidRPr="00A67CEE" w:rsidRDefault="001E51FC" w:rsidP="001E51FC">
      <w:pPr>
        <w:rPr>
          <w:rFonts w:cs="Arial"/>
          <w:bCs/>
          <w:szCs w:val="16"/>
        </w:rPr>
      </w:pPr>
      <w:r w:rsidRPr="00A67CEE">
        <w:rPr>
          <w:rFonts w:cs="Arial"/>
          <w:bCs/>
          <w:szCs w:val="16"/>
        </w:rPr>
        <w:t>The summary statement percentages from the previous year’s reporting were compared to the current year using an accepted formula (test of proportional difference) to determine whether the difference between the two percentages is statistically significant (or meaningful), based upon a significance level of p&lt;=.05. The statistical test has several steps. All values are shown as rounded for display purposes.</w:t>
      </w:r>
    </w:p>
    <w:p w14:paraId="0BBD088B" w14:textId="77777777" w:rsidR="00A67CEE" w:rsidRDefault="00A67CEE" w:rsidP="001E51FC">
      <w:pPr>
        <w:rPr>
          <w:rFonts w:cs="Arial"/>
          <w:bCs/>
          <w:szCs w:val="16"/>
        </w:rPr>
      </w:pPr>
    </w:p>
    <w:p w14:paraId="373542AE" w14:textId="1A3E027C" w:rsidR="007B0FF2" w:rsidRPr="00A67CEE" w:rsidRDefault="007B0FF2" w:rsidP="007B0FF2">
      <w:pPr>
        <w:rPr>
          <w:rFonts w:cs="Arial"/>
          <w:bCs/>
          <w:szCs w:val="16"/>
        </w:rPr>
      </w:pPr>
      <w:r w:rsidRPr="00A67CEE">
        <w:rPr>
          <w:rFonts w:cs="Arial"/>
          <w:bCs/>
          <w:szCs w:val="16"/>
        </w:rPr>
        <w:t>Step 1: Compute the difference between the FFY 2023 and FFY 2022 summary statements.</w:t>
      </w:r>
    </w:p>
    <w:p w14:paraId="114BDD3D" w14:textId="7F0EEA08" w:rsidR="007B0FF2" w:rsidRPr="00A67CEE" w:rsidRDefault="007B0FF2" w:rsidP="007B0FF2">
      <w:pPr>
        <w:ind w:firstLine="720"/>
        <w:rPr>
          <w:rFonts w:cs="Arial"/>
          <w:bCs/>
          <w:szCs w:val="16"/>
        </w:rPr>
      </w:pPr>
      <w:r w:rsidRPr="00A67CEE">
        <w:rPr>
          <w:rFonts w:cs="Arial"/>
          <w:bCs/>
          <w:szCs w:val="16"/>
        </w:rPr>
        <w:t>e.g., C3A FFY2023% - C3A FFY2022% = Difference in proportions</w:t>
      </w:r>
    </w:p>
    <w:p w14:paraId="26732057" w14:textId="77777777" w:rsidR="007B0FF2" w:rsidRDefault="007B0FF2" w:rsidP="007B0FF2">
      <w:pPr>
        <w:rPr>
          <w:rFonts w:cs="Arial"/>
          <w:bCs/>
          <w:szCs w:val="16"/>
        </w:rPr>
      </w:pPr>
    </w:p>
    <w:p w14:paraId="4E6FA3E0" w14:textId="63C480DF" w:rsidR="006F3905" w:rsidRPr="006F3905" w:rsidRDefault="007B0FF2" w:rsidP="006F3905">
      <w:pPr>
        <w:spacing w:after="120"/>
        <w:ind w:left="720" w:hanging="720"/>
        <w:rPr>
          <w:rFonts w:cs="Arial"/>
          <w:szCs w:val="16"/>
        </w:rPr>
      </w:pPr>
      <w:r w:rsidRPr="00A67CEE">
        <w:rPr>
          <w:rFonts w:cs="Arial"/>
          <w:bCs/>
          <w:szCs w:val="16"/>
        </w:rPr>
        <w:t xml:space="preserve">Step 2: </w:t>
      </w:r>
      <w:r w:rsidRPr="006F3905">
        <w:rPr>
          <w:rFonts w:cs="Arial"/>
          <w:szCs w:val="16"/>
        </w:rPr>
        <w:t>Compute the standard error of the difference in proportions using the following formula which takes into account the value of the summary statement from both years and the number of children that the summary statement is based on</w:t>
      </w:r>
    </w:p>
    <w:p w14:paraId="54D4DC4A" w14:textId="283697C0" w:rsidR="007B0FF2" w:rsidRPr="006F3905" w:rsidRDefault="006F3905" w:rsidP="006F3905">
      <w:pPr>
        <w:ind w:left="720"/>
        <w:rPr>
          <w:rFonts w:cs="Arial"/>
          <w:color w:val="000000" w:themeColor="text1"/>
          <w:szCs w:val="16"/>
        </w:rPr>
      </w:pPr>
      <w:r w:rsidRPr="0001214A">
        <w:rPr>
          <w:rFonts w:cs="Arial"/>
          <w:color w:val="000000" w:themeColor="text1"/>
          <w:szCs w:val="16"/>
        </w:rPr>
        <w:t>Sqrt[([FFY2022% * (1-FFY2022%)] / FFY2022N) + ([FFY2023% * (1-FFY2023%)] / FFY2023N)] = Standard Error of Difference in Proportions</w:t>
      </w:r>
    </w:p>
    <w:p w14:paraId="6B46120F" w14:textId="77777777" w:rsidR="006F3905" w:rsidRPr="0001214A" w:rsidRDefault="006F3905" w:rsidP="0001214A">
      <w:pPr>
        <w:ind w:left="720"/>
        <w:rPr>
          <w:rFonts w:cs="Arial"/>
          <w:color w:val="000000" w:themeColor="text1"/>
          <w:szCs w:val="16"/>
        </w:rPr>
      </w:pPr>
    </w:p>
    <w:p w14:paraId="0513F5FA" w14:textId="77777777" w:rsidR="007B0FF2" w:rsidRPr="00A67CEE" w:rsidRDefault="007B0FF2" w:rsidP="007B0FF2">
      <w:pPr>
        <w:rPr>
          <w:rFonts w:cs="Arial"/>
          <w:bCs/>
          <w:szCs w:val="16"/>
        </w:rPr>
      </w:pPr>
      <w:r w:rsidRPr="006F3905">
        <w:rPr>
          <w:rFonts w:cs="Arial"/>
          <w:bCs/>
          <w:szCs w:val="16"/>
        </w:rPr>
        <w:t xml:space="preserve">Step 3: The difference in proportions is then divided by the standard error of the difference to compute a z score. </w:t>
      </w:r>
    </w:p>
    <w:p w14:paraId="69D02B4B" w14:textId="77777777" w:rsidR="007B0FF2" w:rsidRPr="00A67CEE" w:rsidRDefault="007B0FF2" w:rsidP="007B0FF2">
      <w:pPr>
        <w:ind w:firstLine="720"/>
        <w:rPr>
          <w:rFonts w:cs="Arial"/>
          <w:bCs/>
          <w:szCs w:val="16"/>
        </w:rPr>
      </w:pPr>
      <w:r w:rsidRPr="00A67CEE">
        <w:rPr>
          <w:rFonts w:cs="Arial"/>
          <w:bCs/>
          <w:szCs w:val="16"/>
        </w:rPr>
        <w:t>Difference in proportions /standard error of the difference in proportions = z score </w:t>
      </w:r>
    </w:p>
    <w:p w14:paraId="7219D447" w14:textId="77777777" w:rsidR="007B0FF2" w:rsidRDefault="007B0FF2" w:rsidP="007B0FF2">
      <w:pPr>
        <w:rPr>
          <w:rFonts w:cs="Arial"/>
          <w:bCs/>
          <w:szCs w:val="16"/>
        </w:rPr>
      </w:pPr>
    </w:p>
    <w:p w14:paraId="63F1A78B" w14:textId="77777777" w:rsidR="007B0FF2" w:rsidRPr="00A67CEE" w:rsidRDefault="007B0FF2" w:rsidP="007B0FF2">
      <w:pPr>
        <w:rPr>
          <w:rFonts w:cs="Arial"/>
          <w:bCs/>
          <w:szCs w:val="16"/>
        </w:rPr>
      </w:pPr>
      <w:r w:rsidRPr="00A67CEE">
        <w:rPr>
          <w:rFonts w:cs="Arial"/>
          <w:bCs/>
          <w:szCs w:val="16"/>
        </w:rPr>
        <w:t xml:space="preserve">Step 4: The statistical significance of the z score is located within a table and the </w:t>
      </w:r>
      <w:r w:rsidRPr="00A67CEE">
        <w:rPr>
          <w:rFonts w:cs="Arial"/>
          <w:bCs/>
          <w:i/>
          <w:iCs/>
          <w:szCs w:val="16"/>
        </w:rPr>
        <w:t>p</w:t>
      </w:r>
      <w:r w:rsidRPr="00A67CEE">
        <w:rPr>
          <w:rFonts w:cs="Arial"/>
          <w:bCs/>
          <w:szCs w:val="16"/>
        </w:rPr>
        <w:t xml:space="preserve"> value is determined. </w:t>
      </w:r>
    </w:p>
    <w:p w14:paraId="48B57429" w14:textId="77777777" w:rsidR="007B0FF2" w:rsidRDefault="007B0FF2" w:rsidP="007B0FF2">
      <w:pPr>
        <w:rPr>
          <w:rFonts w:cs="Arial"/>
          <w:bCs/>
          <w:szCs w:val="16"/>
        </w:rPr>
      </w:pPr>
    </w:p>
    <w:p w14:paraId="74361B9D" w14:textId="516867EE" w:rsidR="007B0FF2" w:rsidRDefault="007B0FF2" w:rsidP="007B0FF2">
      <w:pPr>
        <w:rPr>
          <w:rFonts w:cs="Arial"/>
          <w:bCs/>
          <w:szCs w:val="16"/>
        </w:rPr>
      </w:pPr>
      <w:r w:rsidRPr="00A67CEE">
        <w:rPr>
          <w:rFonts w:cs="Arial"/>
          <w:bCs/>
          <w:szCs w:val="16"/>
        </w:rPr>
        <w:t xml:space="preserve">Step 5: The difference in proportions is coded as statistically significant if the </w:t>
      </w:r>
      <w:r w:rsidRPr="00A67CEE">
        <w:rPr>
          <w:rFonts w:cs="Arial"/>
          <w:bCs/>
          <w:i/>
          <w:iCs/>
          <w:szCs w:val="16"/>
        </w:rPr>
        <w:t xml:space="preserve">p </w:t>
      </w:r>
      <w:r w:rsidRPr="00A67CEE">
        <w:rPr>
          <w:rFonts w:cs="Arial"/>
          <w:bCs/>
          <w:szCs w:val="16"/>
        </w:rPr>
        <w:t>value is less than or equal to .05.</w:t>
      </w:r>
    </w:p>
    <w:p w14:paraId="5ACE4441" w14:textId="77777777" w:rsidR="007B0FF2" w:rsidRPr="00333DBB" w:rsidRDefault="007B0FF2" w:rsidP="007B0FF2">
      <w:pPr>
        <w:rPr>
          <w:rFonts w:cs="Arial"/>
          <w:bCs/>
          <w:sz w:val="14"/>
          <w:szCs w:val="14"/>
        </w:rPr>
      </w:pPr>
    </w:p>
    <w:p w14:paraId="361D52F2" w14:textId="77777777" w:rsidR="007B0FF2" w:rsidRPr="00333DBB" w:rsidRDefault="007B0FF2" w:rsidP="007B0FF2">
      <w:pPr>
        <w:spacing w:after="0"/>
        <w:ind w:left="720" w:hanging="720"/>
        <w:rPr>
          <w:szCs w:val="16"/>
        </w:rPr>
      </w:pPr>
      <w:r w:rsidRPr="00333DBB">
        <w:rPr>
          <w:szCs w:val="16"/>
        </w:rPr>
        <w:t>Step 6: Information about the statistical significance of the change and the direction of the change are combined to arrive at a score for the summary statement using the following criteria</w:t>
      </w:r>
    </w:p>
    <w:p w14:paraId="1E03E5E2" w14:textId="0A8A49A9" w:rsidR="007B0FF2" w:rsidRPr="00333DBB" w:rsidRDefault="007B0FF2" w:rsidP="007B0FF2">
      <w:pPr>
        <w:spacing w:after="0"/>
        <w:ind w:left="720"/>
        <w:rPr>
          <w:szCs w:val="16"/>
        </w:rPr>
      </w:pPr>
      <w:r w:rsidRPr="00333DBB">
        <w:rPr>
          <w:szCs w:val="16"/>
        </w:rPr>
        <w:t>0 = statistically significant decrease from FFY 2022 to FFY 2023</w:t>
      </w:r>
    </w:p>
    <w:p w14:paraId="1696CC05" w14:textId="77777777" w:rsidR="007B0FF2" w:rsidRPr="00333DBB" w:rsidRDefault="007B0FF2" w:rsidP="007B0FF2">
      <w:pPr>
        <w:spacing w:after="0"/>
        <w:ind w:left="720"/>
        <w:rPr>
          <w:szCs w:val="16"/>
        </w:rPr>
      </w:pPr>
      <w:r w:rsidRPr="00333DBB">
        <w:rPr>
          <w:szCs w:val="16"/>
        </w:rPr>
        <w:t>1 = No statistically significant change</w:t>
      </w:r>
    </w:p>
    <w:p w14:paraId="321DA925" w14:textId="73E1AA18" w:rsidR="007B0FF2" w:rsidRPr="00333DBB" w:rsidRDefault="007B0FF2" w:rsidP="007B0FF2">
      <w:pPr>
        <w:ind w:left="720"/>
        <w:rPr>
          <w:szCs w:val="16"/>
        </w:rPr>
      </w:pPr>
      <w:r w:rsidRPr="00333DBB">
        <w:rPr>
          <w:szCs w:val="16"/>
        </w:rPr>
        <w:t>2= statistically significant increase from FFY 2022 to FFY 2023</w:t>
      </w:r>
    </w:p>
    <w:p w14:paraId="36EEB54D" w14:textId="77777777" w:rsidR="007B0FF2" w:rsidRDefault="007B0FF2" w:rsidP="007B0FF2">
      <w:pPr>
        <w:rPr>
          <w:rFonts w:cs="Arial"/>
          <w:bCs/>
          <w:szCs w:val="16"/>
        </w:rPr>
      </w:pPr>
    </w:p>
    <w:p w14:paraId="7EAE2209" w14:textId="77777777" w:rsidR="007B0FF2" w:rsidRPr="00333DBB" w:rsidRDefault="007B0FF2" w:rsidP="007B0FF2">
      <w:pPr>
        <w:spacing w:after="120"/>
        <w:ind w:left="720" w:hanging="720"/>
        <w:rPr>
          <w:szCs w:val="16"/>
        </w:rPr>
      </w:pPr>
      <w:r w:rsidRPr="00333DBB">
        <w:rPr>
          <w:szCs w:val="16"/>
        </w:rPr>
        <w:t>Step 7: The score for each summary statement and outcome is summed to create a total score with a minimum of 0 and a maximum of 12. The score for the test of proportional difference is assigned a score for the Indicator 3 Overall Performance Change Score based on the following cut points:</w:t>
      </w:r>
    </w:p>
    <w:p w14:paraId="642FF550" w14:textId="77777777" w:rsidR="00A67CEE" w:rsidRPr="001E51FC" w:rsidRDefault="00A67CEE" w:rsidP="001E51FC">
      <w:pPr>
        <w:rPr>
          <w:rFonts w:cs="Arial"/>
          <w:b/>
          <w:szCs w:val="16"/>
        </w:rPr>
      </w:pPr>
    </w:p>
    <w:tbl>
      <w:tblPr>
        <w:tblStyle w:val="TableGrid1"/>
        <w:tblW w:w="5010" w:type="pct"/>
        <w:tblLook w:val="04A0" w:firstRow="1" w:lastRow="0" w:firstColumn="1" w:lastColumn="0" w:noHBand="0" w:noVBand="1"/>
        <w:tblCaption w:val="CAPPDSCR"/>
        <w:tblDescription w:val="Indicator 2 Overall Performance Change Score"/>
      </w:tblPr>
      <w:tblGrid>
        <w:gridCol w:w="3955"/>
        <w:gridCol w:w="6857"/>
      </w:tblGrid>
      <w:tr w:rsidR="001E51FC" w:rsidRPr="001E51FC" w14:paraId="37490DAE" w14:textId="77777777" w:rsidTr="00B05769">
        <w:tc>
          <w:tcPr>
            <w:tcW w:w="1829" w:type="pct"/>
            <w:hideMark/>
          </w:tcPr>
          <w:p w14:paraId="0865BD08" w14:textId="77777777" w:rsidR="001E51FC" w:rsidRPr="001E51FC" w:rsidRDefault="001E51FC" w:rsidP="001E51FC">
            <w:pPr>
              <w:rPr>
                <w:rFonts w:cs="Arial"/>
                <w:b/>
                <w:szCs w:val="16"/>
              </w:rPr>
            </w:pPr>
            <w:r w:rsidRPr="001E51FC">
              <w:rPr>
                <w:rFonts w:cs="Arial"/>
                <w:b/>
                <w:szCs w:val="16"/>
              </w:rPr>
              <w:t>Indicator 3 Overall Performance Change Score</w:t>
            </w:r>
          </w:p>
        </w:tc>
        <w:tc>
          <w:tcPr>
            <w:tcW w:w="3171" w:type="pct"/>
            <w:hideMark/>
          </w:tcPr>
          <w:p w14:paraId="42119334" w14:textId="77777777" w:rsidR="001E51FC" w:rsidRPr="001E51FC" w:rsidRDefault="001E51FC" w:rsidP="001E51FC">
            <w:pPr>
              <w:rPr>
                <w:rFonts w:cs="Arial"/>
                <w:b/>
                <w:szCs w:val="16"/>
              </w:rPr>
            </w:pPr>
            <w:r w:rsidRPr="001E51FC">
              <w:rPr>
                <w:rFonts w:cs="Arial"/>
                <w:b/>
                <w:szCs w:val="16"/>
              </w:rPr>
              <w:t>Cut Points for Change Over Time in Summary Statements Total Score</w:t>
            </w:r>
          </w:p>
        </w:tc>
      </w:tr>
      <w:tr w:rsidR="001E51FC" w:rsidRPr="001E51FC" w14:paraId="40A5B386" w14:textId="77777777" w:rsidTr="00B05769">
        <w:tc>
          <w:tcPr>
            <w:tcW w:w="1829" w:type="pct"/>
            <w:noWrap/>
            <w:hideMark/>
          </w:tcPr>
          <w:p w14:paraId="089E933F" w14:textId="77777777" w:rsidR="001E51FC" w:rsidRPr="001E51FC" w:rsidRDefault="001E51FC" w:rsidP="00B05769">
            <w:pPr>
              <w:jc w:val="center"/>
              <w:rPr>
                <w:rFonts w:cs="Arial"/>
                <w:b/>
                <w:szCs w:val="16"/>
              </w:rPr>
            </w:pPr>
            <w:r w:rsidRPr="001E51FC">
              <w:rPr>
                <w:rFonts w:cs="Arial"/>
                <w:b/>
                <w:szCs w:val="16"/>
              </w:rPr>
              <w:t>0</w:t>
            </w:r>
          </w:p>
        </w:tc>
        <w:tc>
          <w:tcPr>
            <w:tcW w:w="3171" w:type="pct"/>
            <w:noWrap/>
            <w:hideMark/>
          </w:tcPr>
          <w:p w14:paraId="468392DB" w14:textId="77777777" w:rsidR="001E51FC" w:rsidRPr="001E51FC" w:rsidRDefault="001E51FC" w:rsidP="001E51FC">
            <w:pPr>
              <w:rPr>
                <w:rFonts w:cs="Arial"/>
                <w:bCs/>
                <w:szCs w:val="16"/>
              </w:rPr>
            </w:pPr>
            <w:r w:rsidRPr="001E51FC">
              <w:rPr>
                <w:rFonts w:cs="Arial"/>
                <w:bCs/>
                <w:szCs w:val="16"/>
              </w:rPr>
              <w:t>Lowest score through 3</w:t>
            </w:r>
          </w:p>
        </w:tc>
      </w:tr>
      <w:tr w:rsidR="001E51FC" w:rsidRPr="001E51FC" w14:paraId="07BFA187" w14:textId="77777777" w:rsidTr="00B05769">
        <w:tc>
          <w:tcPr>
            <w:tcW w:w="1829" w:type="pct"/>
            <w:noWrap/>
            <w:hideMark/>
          </w:tcPr>
          <w:p w14:paraId="2FE4FEF6" w14:textId="77777777" w:rsidR="001E51FC" w:rsidRPr="001E51FC" w:rsidRDefault="001E51FC" w:rsidP="00B05769">
            <w:pPr>
              <w:jc w:val="center"/>
              <w:rPr>
                <w:rFonts w:cs="Arial"/>
                <w:b/>
                <w:szCs w:val="16"/>
              </w:rPr>
            </w:pPr>
            <w:r w:rsidRPr="001E51FC">
              <w:rPr>
                <w:rFonts w:cs="Arial"/>
                <w:b/>
                <w:szCs w:val="16"/>
              </w:rPr>
              <w:t>1</w:t>
            </w:r>
          </w:p>
        </w:tc>
        <w:tc>
          <w:tcPr>
            <w:tcW w:w="3171" w:type="pct"/>
            <w:noWrap/>
            <w:hideMark/>
          </w:tcPr>
          <w:p w14:paraId="7F15F0B1" w14:textId="77777777" w:rsidR="001E51FC" w:rsidRPr="001E51FC" w:rsidRDefault="001E51FC" w:rsidP="001E51FC">
            <w:pPr>
              <w:rPr>
                <w:rFonts w:cs="Arial"/>
                <w:bCs/>
                <w:szCs w:val="16"/>
              </w:rPr>
            </w:pPr>
            <w:r w:rsidRPr="001E51FC">
              <w:rPr>
                <w:rFonts w:cs="Arial"/>
                <w:bCs/>
                <w:szCs w:val="16"/>
              </w:rPr>
              <w:t>4 through 7</w:t>
            </w:r>
          </w:p>
        </w:tc>
      </w:tr>
      <w:tr w:rsidR="001E51FC" w:rsidRPr="001E51FC" w14:paraId="0EA2453D" w14:textId="77777777" w:rsidTr="00B05769">
        <w:tc>
          <w:tcPr>
            <w:tcW w:w="1829" w:type="pct"/>
            <w:noWrap/>
            <w:hideMark/>
          </w:tcPr>
          <w:p w14:paraId="5DA468D2" w14:textId="77777777" w:rsidR="001E51FC" w:rsidRPr="001E51FC" w:rsidRDefault="001E51FC" w:rsidP="00B05769">
            <w:pPr>
              <w:jc w:val="center"/>
              <w:rPr>
                <w:rFonts w:cs="Arial"/>
                <w:b/>
                <w:szCs w:val="16"/>
              </w:rPr>
            </w:pPr>
            <w:r w:rsidRPr="001E51FC">
              <w:rPr>
                <w:rFonts w:cs="Arial"/>
                <w:b/>
                <w:szCs w:val="16"/>
              </w:rPr>
              <w:t>2</w:t>
            </w:r>
          </w:p>
        </w:tc>
        <w:tc>
          <w:tcPr>
            <w:tcW w:w="3171" w:type="pct"/>
            <w:noWrap/>
            <w:hideMark/>
          </w:tcPr>
          <w:p w14:paraId="075623A6" w14:textId="77777777" w:rsidR="001E51FC" w:rsidRPr="001E51FC" w:rsidRDefault="001E51FC" w:rsidP="001E51FC">
            <w:pPr>
              <w:rPr>
                <w:rFonts w:cs="Arial"/>
                <w:bCs/>
                <w:szCs w:val="16"/>
              </w:rPr>
            </w:pPr>
            <w:r w:rsidRPr="001E51FC">
              <w:rPr>
                <w:rFonts w:cs="Arial"/>
                <w:bCs/>
                <w:szCs w:val="16"/>
              </w:rPr>
              <w:t>8 through highest</w:t>
            </w:r>
          </w:p>
        </w:tc>
      </w:tr>
    </w:tbl>
    <w:p w14:paraId="088D50B4" w14:textId="36839911" w:rsidR="002E52E1" w:rsidRDefault="002E52E1" w:rsidP="0081611B">
      <w:pPr>
        <w:rPr>
          <w:rFonts w:cs="Arial"/>
          <w:b/>
          <w:szCs w:val="16"/>
        </w:rPr>
      </w:pPr>
    </w:p>
    <w:p w14:paraId="719400B5" w14:textId="77777777" w:rsidR="002E52E1" w:rsidRDefault="002E52E1">
      <w:pPr>
        <w:spacing w:before="0" w:after="200" w:line="276" w:lineRule="auto"/>
        <w:rPr>
          <w:rFonts w:cs="Arial"/>
          <w:b/>
          <w:szCs w:val="16"/>
        </w:rPr>
      </w:pPr>
      <w:r>
        <w:rPr>
          <w:rFonts w:cs="Arial"/>
          <w:b/>
          <w:szCs w:val="16"/>
        </w:rPr>
        <w:br w:type="page"/>
      </w:r>
    </w:p>
    <w:p w14:paraId="15033136" w14:textId="77777777" w:rsidR="002163B7" w:rsidRDefault="002163B7" w:rsidP="0081611B">
      <w:pPr>
        <w:rPr>
          <w:rFonts w:cs="Arial"/>
          <w:b/>
          <w:szCs w:val="16"/>
        </w:rPr>
      </w:pPr>
    </w:p>
    <w:tbl>
      <w:tblPr>
        <w:tblStyle w:val="TableGrid1"/>
        <w:tblW w:w="5186" w:type="pct"/>
        <w:tblLayout w:type="fixed"/>
        <w:tblLook w:val="04A0" w:firstRow="1" w:lastRow="0" w:firstColumn="1" w:lastColumn="0" w:noHBand="0" w:noVBand="1"/>
        <w:tblCaption w:val="C03SSCOYTYSTAT"/>
        <w:tblDescription w:val=" "/>
      </w:tblPr>
      <w:tblGrid>
        <w:gridCol w:w="1304"/>
        <w:gridCol w:w="915"/>
        <w:gridCol w:w="1009"/>
        <w:gridCol w:w="915"/>
        <w:gridCol w:w="1009"/>
        <w:gridCol w:w="1296"/>
        <w:gridCol w:w="864"/>
        <w:gridCol w:w="864"/>
        <w:gridCol w:w="864"/>
        <w:gridCol w:w="864"/>
        <w:gridCol w:w="1287"/>
      </w:tblGrid>
      <w:tr w:rsidR="007B0FF2" w:rsidRPr="002163B7" w14:paraId="67AD5D58" w14:textId="77777777" w:rsidTr="007B0FF2">
        <w:trPr>
          <w:tblHeader/>
        </w:trPr>
        <w:tc>
          <w:tcPr>
            <w:tcW w:w="582" w:type="pct"/>
          </w:tcPr>
          <w:p w14:paraId="5023293D" w14:textId="3A8A1044" w:rsidR="002163B7" w:rsidRPr="002163B7" w:rsidRDefault="002163B7" w:rsidP="002163B7">
            <w:pPr>
              <w:rPr>
                <w:rFonts w:cs="Arial"/>
                <w:b/>
                <w:bCs/>
                <w:szCs w:val="16"/>
              </w:rPr>
            </w:pPr>
            <w:r w:rsidRPr="002163B7">
              <w:rPr>
                <w:rFonts w:cs="Arial"/>
                <w:b/>
                <w:bCs/>
                <w:szCs w:val="16"/>
              </w:rPr>
              <w:t>Summary Statement/ Child Outcome</w:t>
            </w:r>
          </w:p>
        </w:tc>
        <w:tc>
          <w:tcPr>
            <w:tcW w:w="409" w:type="pct"/>
          </w:tcPr>
          <w:p w14:paraId="6FF1FC19" w14:textId="3347433F" w:rsidR="002163B7" w:rsidRPr="002163B7" w:rsidRDefault="002163B7" w:rsidP="002163B7">
            <w:pPr>
              <w:rPr>
                <w:rFonts w:cs="Arial"/>
                <w:b/>
                <w:bCs/>
                <w:szCs w:val="16"/>
              </w:rPr>
            </w:pPr>
            <w:r w:rsidRPr="002163B7">
              <w:rPr>
                <w:rFonts w:cs="Arial"/>
                <w:b/>
                <w:bCs/>
                <w:szCs w:val="16"/>
              </w:rPr>
              <w:t>FFY 2022 N</w:t>
            </w:r>
          </w:p>
        </w:tc>
        <w:tc>
          <w:tcPr>
            <w:tcW w:w="451" w:type="pct"/>
          </w:tcPr>
          <w:p w14:paraId="31613D59" w14:textId="4FEB8A59" w:rsidR="002163B7" w:rsidRPr="002163B7" w:rsidRDefault="002163B7" w:rsidP="002163B7">
            <w:pPr>
              <w:rPr>
                <w:rFonts w:cs="Arial"/>
                <w:b/>
                <w:bCs/>
                <w:szCs w:val="16"/>
              </w:rPr>
            </w:pPr>
            <w:r w:rsidRPr="002163B7">
              <w:rPr>
                <w:rFonts w:cs="Arial"/>
                <w:b/>
                <w:bCs/>
                <w:szCs w:val="16"/>
              </w:rPr>
              <w:t>FFY 2022 Summary Statement (%)</w:t>
            </w:r>
          </w:p>
        </w:tc>
        <w:tc>
          <w:tcPr>
            <w:tcW w:w="409" w:type="pct"/>
          </w:tcPr>
          <w:p w14:paraId="7A7B5951" w14:textId="1A275698" w:rsidR="002163B7" w:rsidRPr="002163B7" w:rsidRDefault="002163B7" w:rsidP="002163B7">
            <w:pPr>
              <w:rPr>
                <w:rFonts w:cs="Arial"/>
                <w:b/>
                <w:bCs/>
                <w:szCs w:val="16"/>
              </w:rPr>
            </w:pPr>
            <w:r w:rsidRPr="002163B7">
              <w:rPr>
                <w:rFonts w:cs="Arial"/>
                <w:b/>
                <w:bCs/>
                <w:szCs w:val="16"/>
              </w:rPr>
              <w:t>FFY 2023 N</w:t>
            </w:r>
          </w:p>
        </w:tc>
        <w:tc>
          <w:tcPr>
            <w:tcW w:w="451" w:type="pct"/>
          </w:tcPr>
          <w:p w14:paraId="691E7E65" w14:textId="7231CC06" w:rsidR="002163B7" w:rsidRPr="002163B7" w:rsidRDefault="002163B7" w:rsidP="002163B7">
            <w:pPr>
              <w:rPr>
                <w:rFonts w:cs="Arial"/>
                <w:b/>
                <w:bCs/>
                <w:szCs w:val="16"/>
              </w:rPr>
            </w:pPr>
            <w:r w:rsidRPr="002163B7">
              <w:rPr>
                <w:rFonts w:cs="Arial"/>
                <w:b/>
                <w:bCs/>
                <w:szCs w:val="16"/>
              </w:rPr>
              <w:t>FFY 2023 Summary Statement (%)</w:t>
            </w:r>
          </w:p>
        </w:tc>
        <w:tc>
          <w:tcPr>
            <w:tcW w:w="579" w:type="pct"/>
          </w:tcPr>
          <w:p w14:paraId="51E3E034" w14:textId="77777777" w:rsidR="002163B7" w:rsidRPr="002163B7" w:rsidRDefault="002163B7" w:rsidP="002163B7">
            <w:pPr>
              <w:rPr>
                <w:rFonts w:cs="Arial"/>
                <w:b/>
                <w:bCs/>
                <w:szCs w:val="16"/>
              </w:rPr>
            </w:pPr>
            <w:r w:rsidRPr="002163B7">
              <w:rPr>
                <w:rFonts w:cs="Arial"/>
                <w:b/>
                <w:bCs/>
                <w:szCs w:val="16"/>
              </w:rPr>
              <w:t>Difference between Percentages (%)</w:t>
            </w:r>
          </w:p>
        </w:tc>
        <w:tc>
          <w:tcPr>
            <w:tcW w:w="386" w:type="pct"/>
          </w:tcPr>
          <w:p w14:paraId="2E1CF9DE" w14:textId="77777777" w:rsidR="002163B7" w:rsidRPr="002163B7" w:rsidRDefault="002163B7" w:rsidP="002163B7">
            <w:pPr>
              <w:rPr>
                <w:rFonts w:cs="Arial"/>
                <w:b/>
                <w:bCs/>
                <w:szCs w:val="16"/>
              </w:rPr>
            </w:pPr>
            <w:r w:rsidRPr="002163B7">
              <w:rPr>
                <w:rFonts w:cs="Arial"/>
                <w:b/>
                <w:bCs/>
                <w:szCs w:val="16"/>
              </w:rPr>
              <w:t>Std Error</w:t>
            </w:r>
          </w:p>
        </w:tc>
        <w:tc>
          <w:tcPr>
            <w:tcW w:w="386" w:type="pct"/>
          </w:tcPr>
          <w:p w14:paraId="28AA7E5C" w14:textId="77777777" w:rsidR="002163B7" w:rsidRPr="002163B7" w:rsidRDefault="002163B7" w:rsidP="002163B7">
            <w:pPr>
              <w:rPr>
                <w:rFonts w:cs="Arial"/>
                <w:b/>
                <w:bCs/>
                <w:szCs w:val="16"/>
              </w:rPr>
            </w:pPr>
            <w:r w:rsidRPr="002163B7">
              <w:rPr>
                <w:rFonts w:cs="Arial"/>
                <w:b/>
                <w:bCs/>
                <w:szCs w:val="16"/>
              </w:rPr>
              <w:t>z value</w:t>
            </w:r>
          </w:p>
        </w:tc>
        <w:tc>
          <w:tcPr>
            <w:tcW w:w="386" w:type="pct"/>
          </w:tcPr>
          <w:p w14:paraId="2FBE588E" w14:textId="77777777" w:rsidR="002163B7" w:rsidRPr="002163B7" w:rsidRDefault="002163B7" w:rsidP="002163B7">
            <w:pPr>
              <w:rPr>
                <w:rFonts w:cs="Arial"/>
                <w:b/>
                <w:bCs/>
                <w:szCs w:val="16"/>
              </w:rPr>
            </w:pPr>
            <w:r w:rsidRPr="002163B7">
              <w:rPr>
                <w:rFonts w:cs="Arial"/>
                <w:b/>
                <w:bCs/>
                <w:szCs w:val="16"/>
              </w:rPr>
              <w:t>p-value</w:t>
            </w:r>
          </w:p>
        </w:tc>
        <w:tc>
          <w:tcPr>
            <w:tcW w:w="386" w:type="pct"/>
          </w:tcPr>
          <w:p w14:paraId="3457FDDA" w14:textId="77777777" w:rsidR="002163B7" w:rsidRPr="002163B7" w:rsidRDefault="002163B7" w:rsidP="002163B7">
            <w:pPr>
              <w:rPr>
                <w:rFonts w:cs="Arial"/>
                <w:b/>
                <w:bCs/>
                <w:szCs w:val="16"/>
              </w:rPr>
            </w:pPr>
            <w:r w:rsidRPr="002163B7">
              <w:rPr>
                <w:rFonts w:cs="Arial"/>
                <w:b/>
                <w:bCs/>
                <w:szCs w:val="16"/>
              </w:rPr>
              <w:t>p&lt;=.05</w:t>
            </w:r>
          </w:p>
        </w:tc>
        <w:tc>
          <w:tcPr>
            <w:tcW w:w="575" w:type="pct"/>
          </w:tcPr>
          <w:p w14:paraId="02A6D760" w14:textId="77777777" w:rsidR="005E1ADE" w:rsidRDefault="002163B7" w:rsidP="002163B7">
            <w:pPr>
              <w:rPr>
                <w:rFonts w:cs="Arial"/>
                <w:b/>
                <w:bCs/>
                <w:szCs w:val="16"/>
              </w:rPr>
            </w:pPr>
            <w:r w:rsidRPr="002163B7">
              <w:rPr>
                <w:rFonts w:cs="Arial"/>
                <w:b/>
                <w:bCs/>
                <w:szCs w:val="16"/>
              </w:rPr>
              <w:t xml:space="preserve">Score: </w:t>
            </w:r>
          </w:p>
          <w:p w14:paraId="7712DF8E" w14:textId="77777777" w:rsidR="00133A3A" w:rsidRDefault="002163B7" w:rsidP="002163B7">
            <w:pPr>
              <w:rPr>
                <w:rFonts w:cs="Arial"/>
                <w:b/>
                <w:bCs/>
                <w:szCs w:val="16"/>
              </w:rPr>
            </w:pPr>
            <w:r w:rsidRPr="002163B7">
              <w:rPr>
                <w:rFonts w:cs="Arial"/>
                <w:b/>
                <w:bCs/>
                <w:szCs w:val="16"/>
              </w:rPr>
              <w:t xml:space="preserve">0 = significant decrease; </w:t>
            </w:r>
          </w:p>
          <w:p w14:paraId="5C23E78A" w14:textId="77777777" w:rsidR="00133A3A" w:rsidRDefault="002163B7" w:rsidP="002163B7">
            <w:pPr>
              <w:rPr>
                <w:rFonts w:cs="Arial"/>
                <w:b/>
                <w:bCs/>
                <w:szCs w:val="16"/>
              </w:rPr>
            </w:pPr>
            <w:r w:rsidRPr="002163B7">
              <w:rPr>
                <w:rFonts w:cs="Arial"/>
                <w:b/>
                <w:bCs/>
                <w:szCs w:val="16"/>
              </w:rPr>
              <w:t xml:space="preserve">1 = no significant change; </w:t>
            </w:r>
          </w:p>
          <w:p w14:paraId="636653E5" w14:textId="2A1754FB" w:rsidR="002163B7" w:rsidRPr="002163B7" w:rsidRDefault="002163B7" w:rsidP="002163B7">
            <w:pPr>
              <w:rPr>
                <w:rFonts w:cs="Arial"/>
                <w:b/>
                <w:bCs/>
                <w:szCs w:val="16"/>
              </w:rPr>
            </w:pPr>
            <w:r w:rsidRPr="002163B7">
              <w:rPr>
                <w:rFonts w:cs="Arial"/>
                <w:b/>
                <w:bCs/>
                <w:szCs w:val="16"/>
              </w:rPr>
              <w:t>2 = significant increase</w:t>
            </w:r>
          </w:p>
        </w:tc>
      </w:tr>
      <w:tr w:rsidR="007B0FF2" w:rsidRPr="002163B7" w14:paraId="562524D0" w14:textId="77777777" w:rsidTr="007B0FF2">
        <w:tc>
          <w:tcPr>
            <w:tcW w:w="582" w:type="pct"/>
          </w:tcPr>
          <w:p w14:paraId="00E2F20F" w14:textId="77777777" w:rsidR="002163B7" w:rsidRPr="002163B7" w:rsidRDefault="002163B7" w:rsidP="002163B7">
            <w:pPr>
              <w:rPr>
                <w:rFonts w:cs="Arial"/>
                <w:b/>
                <w:bCs/>
                <w:szCs w:val="16"/>
              </w:rPr>
            </w:pPr>
            <w:r w:rsidRPr="002163B7">
              <w:rPr>
                <w:rFonts w:cs="Arial"/>
                <w:b/>
                <w:bCs/>
                <w:szCs w:val="16"/>
              </w:rPr>
              <w:t>SS1/Outcome A: Positive Social Relationships</w:t>
            </w:r>
          </w:p>
        </w:tc>
        <w:tc>
          <w:tcPr>
            <w:tcW w:w="409" w:type="pct"/>
          </w:tcPr>
          <w:p w14:paraId="1D6CCAF2" w14:textId="7D18DEAE" w:rsidR="002163B7" w:rsidRPr="002163B7" w:rsidRDefault="002163B7" w:rsidP="002163B7">
            <w:pPr>
              <w:rPr>
                <w:rFonts w:cs="Arial"/>
                <w:bCs/>
                <w:szCs w:val="16"/>
              </w:rPr>
            </w:pPr>
            <w:r w:rsidRPr="002163B7">
              <w:rPr>
                <w:rFonts w:cs="Arial"/>
                <w:bCs/>
                <w:szCs w:val="16"/>
              </w:rPr>
              <w:t>1,212</w:t>
            </w:r>
          </w:p>
        </w:tc>
        <w:tc>
          <w:tcPr>
            <w:tcW w:w="451" w:type="pct"/>
          </w:tcPr>
          <w:p w14:paraId="71B260CE" w14:textId="08E9F3B4" w:rsidR="002163B7" w:rsidRPr="002163B7" w:rsidRDefault="002163B7" w:rsidP="002163B7">
            <w:pPr>
              <w:rPr>
                <w:rFonts w:cs="Arial"/>
                <w:bCs/>
                <w:szCs w:val="16"/>
              </w:rPr>
            </w:pPr>
            <w:r w:rsidRPr="002163B7">
              <w:rPr>
                <w:rFonts w:cs="Arial"/>
                <w:bCs/>
                <w:szCs w:val="16"/>
              </w:rPr>
              <w:t>39.52%</w:t>
            </w:r>
          </w:p>
        </w:tc>
        <w:tc>
          <w:tcPr>
            <w:tcW w:w="409" w:type="pct"/>
          </w:tcPr>
          <w:p w14:paraId="6338C1B2" w14:textId="7BC386DE" w:rsidR="002163B7" w:rsidRPr="002163B7" w:rsidRDefault="002163B7" w:rsidP="002163B7">
            <w:pPr>
              <w:rPr>
                <w:rFonts w:cs="Arial"/>
                <w:bCs/>
                <w:szCs w:val="16"/>
              </w:rPr>
            </w:pPr>
            <w:r w:rsidRPr="002163B7">
              <w:rPr>
                <w:rFonts w:cs="Arial"/>
                <w:bCs/>
                <w:szCs w:val="16"/>
              </w:rPr>
              <w:t>1,402</w:t>
            </w:r>
          </w:p>
        </w:tc>
        <w:tc>
          <w:tcPr>
            <w:tcW w:w="451" w:type="pct"/>
          </w:tcPr>
          <w:p w14:paraId="136BBFD4" w14:textId="1CEB9412" w:rsidR="002163B7" w:rsidRPr="002163B7" w:rsidRDefault="002163B7" w:rsidP="002163B7">
            <w:pPr>
              <w:rPr>
                <w:rFonts w:cs="Arial"/>
                <w:bCs/>
                <w:szCs w:val="16"/>
              </w:rPr>
            </w:pPr>
            <w:r w:rsidRPr="002163B7">
              <w:rPr>
                <w:rFonts w:cs="Arial"/>
                <w:bCs/>
                <w:szCs w:val="16"/>
              </w:rPr>
              <w:t>40.09%</w:t>
            </w:r>
          </w:p>
        </w:tc>
        <w:tc>
          <w:tcPr>
            <w:tcW w:w="579" w:type="pct"/>
          </w:tcPr>
          <w:p w14:paraId="27AAECA7" w14:textId="77777777" w:rsidR="002163B7" w:rsidRPr="002163B7" w:rsidRDefault="002163B7" w:rsidP="002163B7">
            <w:pPr>
              <w:rPr>
                <w:rFonts w:cs="Arial"/>
                <w:bCs/>
                <w:szCs w:val="16"/>
              </w:rPr>
            </w:pPr>
            <w:r w:rsidRPr="002163B7">
              <w:rPr>
                <w:rFonts w:cs="Arial"/>
                <w:bCs/>
                <w:szCs w:val="16"/>
              </w:rPr>
              <w:t>0.56</w:t>
            </w:r>
          </w:p>
        </w:tc>
        <w:tc>
          <w:tcPr>
            <w:tcW w:w="386" w:type="pct"/>
          </w:tcPr>
          <w:p w14:paraId="634584D4" w14:textId="77777777" w:rsidR="002163B7" w:rsidRPr="002163B7" w:rsidRDefault="002163B7" w:rsidP="002163B7">
            <w:pPr>
              <w:rPr>
                <w:rFonts w:cs="Arial"/>
                <w:bCs/>
                <w:szCs w:val="16"/>
              </w:rPr>
            </w:pPr>
            <w:r w:rsidRPr="002163B7">
              <w:rPr>
                <w:rFonts w:cs="Arial"/>
                <w:bCs/>
                <w:szCs w:val="16"/>
              </w:rPr>
              <w:t>0.0192</w:t>
            </w:r>
          </w:p>
        </w:tc>
        <w:tc>
          <w:tcPr>
            <w:tcW w:w="386" w:type="pct"/>
          </w:tcPr>
          <w:p w14:paraId="7D05A1C3" w14:textId="77777777" w:rsidR="002163B7" w:rsidRPr="002163B7" w:rsidRDefault="002163B7" w:rsidP="002163B7">
            <w:pPr>
              <w:rPr>
                <w:rFonts w:cs="Arial"/>
                <w:bCs/>
                <w:szCs w:val="16"/>
              </w:rPr>
            </w:pPr>
            <w:r w:rsidRPr="002163B7">
              <w:rPr>
                <w:rFonts w:cs="Arial"/>
                <w:bCs/>
                <w:szCs w:val="16"/>
              </w:rPr>
              <w:t>0.2939</w:t>
            </w:r>
          </w:p>
        </w:tc>
        <w:tc>
          <w:tcPr>
            <w:tcW w:w="386" w:type="pct"/>
          </w:tcPr>
          <w:p w14:paraId="5C1BB37E" w14:textId="77777777" w:rsidR="002163B7" w:rsidRPr="002163B7" w:rsidRDefault="002163B7" w:rsidP="002163B7">
            <w:pPr>
              <w:rPr>
                <w:rFonts w:cs="Arial"/>
                <w:bCs/>
                <w:szCs w:val="16"/>
              </w:rPr>
            </w:pPr>
            <w:r w:rsidRPr="002163B7">
              <w:rPr>
                <w:rFonts w:cs="Arial"/>
                <w:bCs/>
                <w:szCs w:val="16"/>
              </w:rPr>
              <w:t>0.7689</w:t>
            </w:r>
          </w:p>
        </w:tc>
        <w:tc>
          <w:tcPr>
            <w:tcW w:w="386" w:type="pct"/>
          </w:tcPr>
          <w:p w14:paraId="2DC1DA24" w14:textId="77777777" w:rsidR="002163B7" w:rsidRPr="002163B7" w:rsidRDefault="002163B7" w:rsidP="002163B7">
            <w:pPr>
              <w:rPr>
                <w:rFonts w:cs="Arial"/>
                <w:bCs/>
                <w:szCs w:val="16"/>
              </w:rPr>
            </w:pPr>
            <w:r w:rsidRPr="002163B7">
              <w:rPr>
                <w:rFonts w:cs="Arial"/>
                <w:bCs/>
                <w:szCs w:val="16"/>
              </w:rPr>
              <w:t>NO</w:t>
            </w:r>
          </w:p>
        </w:tc>
        <w:tc>
          <w:tcPr>
            <w:tcW w:w="575" w:type="pct"/>
          </w:tcPr>
          <w:p w14:paraId="00DA6A1A" w14:textId="77777777" w:rsidR="002163B7" w:rsidRPr="002163B7" w:rsidRDefault="002163B7" w:rsidP="002163B7">
            <w:pPr>
              <w:rPr>
                <w:rFonts w:cs="Arial"/>
                <w:bCs/>
                <w:szCs w:val="16"/>
              </w:rPr>
            </w:pPr>
            <w:r w:rsidRPr="002163B7">
              <w:rPr>
                <w:rFonts w:cs="Arial"/>
                <w:bCs/>
                <w:szCs w:val="16"/>
              </w:rPr>
              <w:t>1</w:t>
            </w:r>
          </w:p>
        </w:tc>
      </w:tr>
      <w:tr w:rsidR="007B0FF2" w:rsidRPr="002163B7" w14:paraId="7815C981" w14:textId="77777777" w:rsidTr="007B0FF2">
        <w:tc>
          <w:tcPr>
            <w:tcW w:w="582" w:type="pct"/>
          </w:tcPr>
          <w:p w14:paraId="6A021056" w14:textId="77777777" w:rsidR="002163B7" w:rsidRPr="002163B7" w:rsidRDefault="002163B7" w:rsidP="002163B7">
            <w:pPr>
              <w:rPr>
                <w:rFonts w:cs="Arial"/>
                <w:b/>
                <w:bCs/>
                <w:szCs w:val="16"/>
              </w:rPr>
            </w:pPr>
            <w:r w:rsidRPr="002163B7">
              <w:rPr>
                <w:rFonts w:cs="Arial"/>
                <w:b/>
                <w:bCs/>
                <w:szCs w:val="16"/>
              </w:rPr>
              <w:t>SS1/Outcome B: Knowledge and Skills</w:t>
            </w:r>
          </w:p>
        </w:tc>
        <w:tc>
          <w:tcPr>
            <w:tcW w:w="409" w:type="pct"/>
          </w:tcPr>
          <w:p w14:paraId="6C399133" w14:textId="5B4F7274" w:rsidR="002163B7" w:rsidRPr="002163B7" w:rsidRDefault="002163B7" w:rsidP="002163B7">
            <w:pPr>
              <w:rPr>
                <w:rFonts w:cs="Arial"/>
                <w:bCs/>
                <w:szCs w:val="16"/>
              </w:rPr>
            </w:pPr>
            <w:r w:rsidRPr="002163B7">
              <w:rPr>
                <w:rFonts w:cs="Arial"/>
                <w:bCs/>
                <w:szCs w:val="16"/>
              </w:rPr>
              <w:t>2,445</w:t>
            </w:r>
          </w:p>
        </w:tc>
        <w:tc>
          <w:tcPr>
            <w:tcW w:w="451" w:type="pct"/>
          </w:tcPr>
          <w:p w14:paraId="7784492F" w14:textId="617B5A37" w:rsidR="002163B7" w:rsidRPr="002163B7" w:rsidRDefault="002163B7" w:rsidP="002163B7">
            <w:pPr>
              <w:rPr>
                <w:rFonts w:cs="Arial"/>
                <w:bCs/>
                <w:szCs w:val="16"/>
              </w:rPr>
            </w:pPr>
            <w:r w:rsidRPr="002163B7">
              <w:rPr>
                <w:rFonts w:cs="Arial"/>
                <w:bCs/>
                <w:szCs w:val="16"/>
              </w:rPr>
              <w:t>69.04%</w:t>
            </w:r>
          </w:p>
        </w:tc>
        <w:tc>
          <w:tcPr>
            <w:tcW w:w="409" w:type="pct"/>
          </w:tcPr>
          <w:p w14:paraId="28F8936D" w14:textId="5A09EDE1" w:rsidR="002163B7" w:rsidRPr="002163B7" w:rsidRDefault="002163B7" w:rsidP="002163B7">
            <w:pPr>
              <w:rPr>
                <w:rFonts w:cs="Arial"/>
                <w:bCs/>
                <w:szCs w:val="16"/>
              </w:rPr>
            </w:pPr>
            <w:r w:rsidRPr="002163B7">
              <w:rPr>
                <w:rFonts w:cs="Arial"/>
                <w:bCs/>
                <w:szCs w:val="16"/>
              </w:rPr>
              <w:t>2,715</w:t>
            </w:r>
          </w:p>
        </w:tc>
        <w:tc>
          <w:tcPr>
            <w:tcW w:w="451" w:type="pct"/>
          </w:tcPr>
          <w:p w14:paraId="633C801B" w14:textId="4A295D67" w:rsidR="002163B7" w:rsidRPr="002163B7" w:rsidRDefault="002163B7" w:rsidP="002163B7">
            <w:pPr>
              <w:rPr>
                <w:rFonts w:cs="Arial"/>
                <w:bCs/>
                <w:szCs w:val="16"/>
              </w:rPr>
            </w:pPr>
            <w:r w:rsidRPr="002163B7">
              <w:rPr>
                <w:rFonts w:cs="Arial"/>
                <w:bCs/>
                <w:szCs w:val="16"/>
              </w:rPr>
              <w:t>68.84%</w:t>
            </w:r>
          </w:p>
        </w:tc>
        <w:tc>
          <w:tcPr>
            <w:tcW w:w="579" w:type="pct"/>
          </w:tcPr>
          <w:p w14:paraId="230B7EE7" w14:textId="77777777" w:rsidR="002163B7" w:rsidRPr="002163B7" w:rsidRDefault="002163B7" w:rsidP="002163B7">
            <w:pPr>
              <w:rPr>
                <w:rFonts w:cs="Arial"/>
                <w:bCs/>
                <w:szCs w:val="16"/>
              </w:rPr>
            </w:pPr>
            <w:r w:rsidRPr="002163B7">
              <w:rPr>
                <w:rFonts w:cs="Arial"/>
                <w:bCs/>
                <w:szCs w:val="16"/>
              </w:rPr>
              <w:t>-0.20</w:t>
            </w:r>
          </w:p>
        </w:tc>
        <w:tc>
          <w:tcPr>
            <w:tcW w:w="386" w:type="pct"/>
          </w:tcPr>
          <w:p w14:paraId="0B101766" w14:textId="77777777" w:rsidR="002163B7" w:rsidRPr="002163B7" w:rsidRDefault="002163B7" w:rsidP="002163B7">
            <w:pPr>
              <w:rPr>
                <w:rFonts w:cs="Arial"/>
                <w:bCs/>
                <w:szCs w:val="16"/>
              </w:rPr>
            </w:pPr>
            <w:r w:rsidRPr="002163B7">
              <w:rPr>
                <w:rFonts w:cs="Arial"/>
                <w:bCs/>
                <w:szCs w:val="16"/>
              </w:rPr>
              <w:t>0.0129</w:t>
            </w:r>
          </w:p>
        </w:tc>
        <w:tc>
          <w:tcPr>
            <w:tcW w:w="386" w:type="pct"/>
          </w:tcPr>
          <w:p w14:paraId="035E4F5E" w14:textId="77777777" w:rsidR="002163B7" w:rsidRPr="002163B7" w:rsidRDefault="002163B7" w:rsidP="002163B7">
            <w:pPr>
              <w:rPr>
                <w:rFonts w:cs="Arial"/>
                <w:bCs/>
                <w:szCs w:val="16"/>
              </w:rPr>
            </w:pPr>
            <w:r w:rsidRPr="002163B7">
              <w:rPr>
                <w:rFonts w:cs="Arial"/>
                <w:bCs/>
                <w:szCs w:val="16"/>
              </w:rPr>
              <w:t>-0.1543</w:t>
            </w:r>
          </w:p>
        </w:tc>
        <w:tc>
          <w:tcPr>
            <w:tcW w:w="386" w:type="pct"/>
          </w:tcPr>
          <w:p w14:paraId="54177C2C" w14:textId="77777777" w:rsidR="002163B7" w:rsidRPr="002163B7" w:rsidRDefault="002163B7" w:rsidP="002163B7">
            <w:pPr>
              <w:rPr>
                <w:rFonts w:cs="Arial"/>
                <w:bCs/>
                <w:szCs w:val="16"/>
              </w:rPr>
            </w:pPr>
            <w:r w:rsidRPr="002163B7">
              <w:rPr>
                <w:rFonts w:cs="Arial"/>
                <w:bCs/>
                <w:szCs w:val="16"/>
              </w:rPr>
              <w:t>0.8774</w:t>
            </w:r>
          </w:p>
        </w:tc>
        <w:tc>
          <w:tcPr>
            <w:tcW w:w="386" w:type="pct"/>
          </w:tcPr>
          <w:p w14:paraId="24039893" w14:textId="77777777" w:rsidR="002163B7" w:rsidRPr="002163B7" w:rsidRDefault="002163B7" w:rsidP="002163B7">
            <w:pPr>
              <w:rPr>
                <w:rFonts w:cs="Arial"/>
                <w:bCs/>
                <w:szCs w:val="16"/>
              </w:rPr>
            </w:pPr>
            <w:r w:rsidRPr="002163B7">
              <w:rPr>
                <w:rFonts w:cs="Arial"/>
                <w:bCs/>
                <w:szCs w:val="16"/>
              </w:rPr>
              <w:t>NO</w:t>
            </w:r>
          </w:p>
        </w:tc>
        <w:tc>
          <w:tcPr>
            <w:tcW w:w="575" w:type="pct"/>
          </w:tcPr>
          <w:p w14:paraId="39010B28" w14:textId="77777777" w:rsidR="002163B7" w:rsidRPr="002163B7" w:rsidRDefault="002163B7" w:rsidP="002163B7">
            <w:pPr>
              <w:rPr>
                <w:rFonts w:cs="Arial"/>
                <w:bCs/>
                <w:szCs w:val="16"/>
              </w:rPr>
            </w:pPr>
            <w:r w:rsidRPr="002163B7">
              <w:rPr>
                <w:rFonts w:cs="Arial"/>
                <w:bCs/>
                <w:szCs w:val="16"/>
              </w:rPr>
              <w:t>1</w:t>
            </w:r>
          </w:p>
        </w:tc>
      </w:tr>
      <w:tr w:rsidR="007B0FF2" w:rsidRPr="002163B7" w14:paraId="0778F602" w14:textId="77777777" w:rsidTr="007B0FF2">
        <w:tc>
          <w:tcPr>
            <w:tcW w:w="582" w:type="pct"/>
          </w:tcPr>
          <w:p w14:paraId="76E0611B" w14:textId="77777777" w:rsidR="002163B7" w:rsidRPr="002163B7" w:rsidRDefault="002163B7" w:rsidP="002163B7">
            <w:pPr>
              <w:rPr>
                <w:rFonts w:cs="Arial"/>
                <w:b/>
                <w:bCs/>
                <w:szCs w:val="16"/>
              </w:rPr>
            </w:pPr>
            <w:r w:rsidRPr="002163B7">
              <w:rPr>
                <w:rFonts w:cs="Arial"/>
                <w:b/>
                <w:bCs/>
                <w:szCs w:val="16"/>
              </w:rPr>
              <w:t>SS1/Outcome C: Actions to meet needs</w:t>
            </w:r>
          </w:p>
        </w:tc>
        <w:tc>
          <w:tcPr>
            <w:tcW w:w="409" w:type="pct"/>
          </w:tcPr>
          <w:p w14:paraId="18FA43C5" w14:textId="3DAB1DB0" w:rsidR="002163B7" w:rsidRPr="002163B7" w:rsidRDefault="002163B7" w:rsidP="002163B7">
            <w:pPr>
              <w:rPr>
                <w:rFonts w:cs="Arial"/>
                <w:bCs/>
                <w:szCs w:val="16"/>
              </w:rPr>
            </w:pPr>
            <w:r w:rsidRPr="002163B7">
              <w:rPr>
                <w:rFonts w:cs="Arial"/>
                <w:bCs/>
                <w:szCs w:val="16"/>
              </w:rPr>
              <w:t>2,014</w:t>
            </w:r>
          </w:p>
        </w:tc>
        <w:tc>
          <w:tcPr>
            <w:tcW w:w="451" w:type="pct"/>
          </w:tcPr>
          <w:p w14:paraId="540692E3" w14:textId="56E6F3CD" w:rsidR="002163B7" w:rsidRPr="002163B7" w:rsidRDefault="002163B7" w:rsidP="002163B7">
            <w:pPr>
              <w:rPr>
                <w:rFonts w:cs="Arial"/>
                <w:bCs/>
                <w:szCs w:val="16"/>
              </w:rPr>
            </w:pPr>
            <w:r w:rsidRPr="002163B7">
              <w:rPr>
                <w:rFonts w:cs="Arial"/>
                <w:bCs/>
                <w:szCs w:val="16"/>
              </w:rPr>
              <w:t>85.45%</w:t>
            </w:r>
          </w:p>
        </w:tc>
        <w:tc>
          <w:tcPr>
            <w:tcW w:w="409" w:type="pct"/>
          </w:tcPr>
          <w:p w14:paraId="1B3E02C2" w14:textId="2CE8465F" w:rsidR="002163B7" w:rsidRPr="002163B7" w:rsidRDefault="002163B7" w:rsidP="002163B7">
            <w:pPr>
              <w:rPr>
                <w:rFonts w:cs="Arial"/>
                <w:bCs/>
                <w:szCs w:val="16"/>
              </w:rPr>
            </w:pPr>
            <w:r w:rsidRPr="002163B7">
              <w:rPr>
                <w:rFonts w:cs="Arial"/>
                <w:bCs/>
                <w:szCs w:val="16"/>
              </w:rPr>
              <w:t>2,311</w:t>
            </w:r>
          </w:p>
        </w:tc>
        <w:tc>
          <w:tcPr>
            <w:tcW w:w="451" w:type="pct"/>
          </w:tcPr>
          <w:p w14:paraId="34FC7C5B" w14:textId="5058C880" w:rsidR="002163B7" w:rsidRPr="002163B7" w:rsidRDefault="002163B7" w:rsidP="002163B7">
            <w:pPr>
              <w:rPr>
                <w:rFonts w:cs="Arial"/>
                <w:bCs/>
                <w:szCs w:val="16"/>
              </w:rPr>
            </w:pPr>
            <w:r w:rsidRPr="002163B7">
              <w:rPr>
                <w:rFonts w:cs="Arial"/>
                <w:bCs/>
                <w:szCs w:val="16"/>
              </w:rPr>
              <w:t>84.64%</w:t>
            </w:r>
          </w:p>
        </w:tc>
        <w:tc>
          <w:tcPr>
            <w:tcW w:w="579" w:type="pct"/>
          </w:tcPr>
          <w:p w14:paraId="553B8B85" w14:textId="77777777" w:rsidR="002163B7" w:rsidRPr="002163B7" w:rsidRDefault="002163B7" w:rsidP="002163B7">
            <w:pPr>
              <w:rPr>
                <w:rFonts w:cs="Arial"/>
                <w:bCs/>
                <w:szCs w:val="16"/>
              </w:rPr>
            </w:pPr>
            <w:r w:rsidRPr="002163B7">
              <w:rPr>
                <w:rFonts w:cs="Arial"/>
                <w:bCs/>
                <w:szCs w:val="16"/>
              </w:rPr>
              <w:t>-0.81</w:t>
            </w:r>
          </w:p>
        </w:tc>
        <w:tc>
          <w:tcPr>
            <w:tcW w:w="386" w:type="pct"/>
          </w:tcPr>
          <w:p w14:paraId="68644CB3" w14:textId="77777777" w:rsidR="002163B7" w:rsidRPr="002163B7" w:rsidRDefault="002163B7" w:rsidP="002163B7">
            <w:pPr>
              <w:rPr>
                <w:rFonts w:cs="Arial"/>
                <w:bCs/>
                <w:szCs w:val="16"/>
              </w:rPr>
            </w:pPr>
            <w:r w:rsidRPr="002163B7">
              <w:rPr>
                <w:rFonts w:cs="Arial"/>
                <w:bCs/>
                <w:szCs w:val="16"/>
              </w:rPr>
              <w:t>0.0109</w:t>
            </w:r>
          </w:p>
        </w:tc>
        <w:tc>
          <w:tcPr>
            <w:tcW w:w="386" w:type="pct"/>
          </w:tcPr>
          <w:p w14:paraId="6ADF51A1" w14:textId="77777777" w:rsidR="002163B7" w:rsidRPr="002163B7" w:rsidRDefault="002163B7" w:rsidP="002163B7">
            <w:pPr>
              <w:rPr>
                <w:rFonts w:cs="Arial"/>
                <w:bCs/>
                <w:szCs w:val="16"/>
              </w:rPr>
            </w:pPr>
            <w:r w:rsidRPr="002163B7">
              <w:rPr>
                <w:rFonts w:cs="Arial"/>
                <w:bCs/>
                <w:szCs w:val="16"/>
              </w:rPr>
              <w:t>-0.7486</w:t>
            </w:r>
          </w:p>
        </w:tc>
        <w:tc>
          <w:tcPr>
            <w:tcW w:w="386" w:type="pct"/>
          </w:tcPr>
          <w:p w14:paraId="144B8F31" w14:textId="77777777" w:rsidR="002163B7" w:rsidRPr="002163B7" w:rsidRDefault="002163B7" w:rsidP="002163B7">
            <w:pPr>
              <w:rPr>
                <w:rFonts w:cs="Arial"/>
                <w:bCs/>
                <w:szCs w:val="16"/>
              </w:rPr>
            </w:pPr>
            <w:r w:rsidRPr="002163B7">
              <w:rPr>
                <w:rFonts w:cs="Arial"/>
                <w:bCs/>
                <w:szCs w:val="16"/>
              </w:rPr>
              <w:t>0.4541</w:t>
            </w:r>
          </w:p>
        </w:tc>
        <w:tc>
          <w:tcPr>
            <w:tcW w:w="386" w:type="pct"/>
          </w:tcPr>
          <w:p w14:paraId="31C10E76" w14:textId="77777777" w:rsidR="002163B7" w:rsidRPr="002163B7" w:rsidRDefault="002163B7" w:rsidP="002163B7">
            <w:pPr>
              <w:rPr>
                <w:rFonts w:cs="Arial"/>
                <w:bCs/>
                <w:szCs w:val="16"/>
              </w:rPr>
            </w:pPr>
            <w:r w:rsidRPr="002163B7">
              <w:rPr>
                <w:rFonts w:cs="Arial"/>
                <w:bCs/>
                <w:szCs w:val="16"/>
              </w:rPr>
              <w:t>NO</w:t>
            </w:r>
          </w:p>
        </w:tc>
        <w:tc>
          <w:tcPr>
            <w:tcW w:w="575" w:type="pct"/>
          </w:tcPr>
          <w:p w14:paraId="56549F88" w14:textId="77777777" w:rsidR="002163B7" w:rsidRPr="002163B7" w:rsidRDefault="002163B7" w:rsidP="002163B7">
            <w:pPr>
              <w:rPr>
                <w:rFonts w:cs="Arial"/>
                <w:bCs/>
                <w:szCs w:val="16"/>
              </w:rPr>
            </w:pPr>
            <w:r w:rsidRPr="002163B7">
              <w:rPr>
                <w:rFonts w:cs="Arial"/>
                <w:bCs/>
                <w:szCs w:val="16"/>
              </w:rPr>
              <w:t>1</w:t>
            </w:r>
          </w:p>
        </w:tc>
      </w:tr>
      <w:tr w:rsidR="007B0FF2" w:rsidRPr="002163B7" w14:paraId="05E5DA9C" w14:textId="77777777" w:rsidTr="007B0FF2">
        <w:tc>
          <w:tcPr>
            <w:tcW w:w="582" w:type="pct"/>
          </w:tcPr>
          <w:p w14:paraId="468256C9" w14:textId="77777777" w:rsidR="002163B7" w:rsidRPr="002163B7" w:rsidRDefault="002163B7" w:rsidP="002163B7">
            <w:pPr>
              <w:rPr>
                <w:rFonts w:cs="Arial"/>
                <w:b/>
                <w:bCs/>
                <w:szCs w:val="16"/>
              </w:rPr>
            </w:pPr>
            <w:r w:rsidRPr="002163B7">
              <w:rPr>
                <w:rFonts w:cs="Arial"/>
                <w:b/>
                <w:bCs/>
                <w:szCs w:val="16"/>
              </w:rPr>
              <w:t>SS2/Outcome A: Positive Social Relationships</w:t>
            </w:r>
          </w:p>
        </w:tc>
        <w:tc>
          <w:tcPr>
            <w:tcW w:w="409" w:type="pct"/>
          </w:tcPr>
          <w:p w14:paraId="11482F5E" w14:textId="7117244E" w:rsidR="002163B7" w:rsidRPr="002163B7" w:rsidRDefault="002163B7" w:rsidP="002163B7">
            <w:pPr>
              <w:rPr>
                <w:rFonts w:cs="Arial"/>
                <w:bCs/>
                <w:szCs w:val="16"/>
              </w:rPr>
            </w:pPr>
            <w:r w:rsidRPr="002163B7">
              <w:rPr>
                <w:rFonts w:cs="Arial"/>
                <w:bCs/>
                <w:szCs w:val="16"/>
              </w:rPr>
              <w:t>2,657</w:t>
            </w:r>
          </w:p>
        </w:tc>
        <w:tc>
          <w:tcPr>
            <w:tcW w:w="451" w:type="pct"/>
          </w:tcPr>
          <w:p w14:paraId="194DF487" w14:textId="7DCD0747" w:rsidR="002163B7" w:rsidRPr="002163B7" w:rsidRDefault="002163B7" w:rsidP="002163B7">
            <w:pPr>
              <w:rPr>
                <w:rFonts w:cs="Arial"/>
                <w:bCs/>
                <w:szCs w:val="16"/>
              </w:rPr>
            </w:pPr>
            <w:r w:rsidRPr="002163B7">
              <w:rPr>
                <w:rFonts w:cs="Arial"/>
                <w:bCs/>
                <w:szCs w:val="16"/>
              </w:rPr>
              <w:t>67.22%</w:t>
            </w:r>
          </w:p>
        </w:tc>
        <w:tc>
          <w:tcPr>
            <w:tcW w:w="409" w:type="pct"/>
          </w:tcPr>
          <w:p w14:paraId="5EAAAE8A" w14:textId="57AB6E77" w:rsidR="002163B7" w:rsidRPr="002163B7" w:rsidRDefault="002163B7" w:rsidP="002163B7">
            <w:pPr>
              <w:rPr>
                <w:rFonts w:cs="Arial"/>
                <w:bCs/>
                <w:szCs w:val="16"/>
              </w:rPr>
            </w:pPr>
            <w:r w:rsidRPr="002163B7">
              <w:rPr>
                <w:rFonts w:cs="Arial"/>
                <w:bCs/>
                <w:szCs w:val="16"/>
              </w:rPr>
              <w:t>2,935</w:t>
            </w:r>
          </w:p>
        </w:tc>
        <w:tc>
          <w:tcPr>
            <w:tcW w:w="451" w:type="pct"/>
          </w:tcPr>
          <w:p w14:paraId="54F6D99F" w14:textId="0EE83B30" w:rsidR="002163B7" w:rsidRPr="002163B7" w:rsidRDefault="002163B7" w:rsidP="002163B7">
            <w:pPr>
              <w:rPr>
                <w:rFonts w:cs="Arial"/>
                <w:bCs/>
                <w:szCs w:val="16"/>
              </w:rPr>
            </w:pPr>
            <w:r w:rsidRPr="002163B7">
              <w:rPr>
                <w:rFonts w:cs="Arial"/>
                <w:bCs/>
                <w:szCs w:val="16"/>
              </w:rPr>
              <w:t>65.42%</w:t>
            </w:r>
          </w:p>
        </w:tc>
        <w:tc>
          <w:tcPr>
            <w:tcW w:w="579" w:type="pct"/>
          </w:tcPr>
          <w:p w14:paraId="1D077B69" w14:textId="77777777" w:rsidR="002163B7" w:rsidRPr="002163B7" w:rsidRDefault="002163B7" w:rsidP="002163B7">
            <w:pPr>
              <w:rPr>
                <w:rFonts w:cs="Arial"/>
                <w:bCs/>
                <w:szCs w:val="16"/>
              </w:rPr>
            </w:pPr>
            <w:r w:rsidRPr="002163B7">
              <w:rPr>
                <w:rFonts w:cs="Arial"/>
                <w:bCs/>
                <w:szCs w:val="16"/>
              </w:rPr>
              <w:t>-1.80</w:t>
            </w:r>
          </w:p>
        </w:tc>
        <w:tc>
          <w:tcPr>
            <w:tcW w:w="386" w:type="pct"/>
          </w:tcPr>
          <w:p w14:paraId="43162C08" w14:textId="77777777" w:rsidR="002163B7" w:rsidRPr="002163B7" w:rsidRDefault="002163B7" w:rsidP="002163B7">
            <w:pPr>
              <w:rPr>
                <w:rFonts w:cs="Arial"/>
                <w:bCs/>
                <w:szCs w:val="16"/>
              </w:rPr>
            </w:pPr>
            <w:r w:rsidRPr="002163B7">
              <w:rPr>
                <w:rFonts w:cs="Arial"/>
                <w:bCs/>
                <w:szCs w:val="16"/>
              </w:rPr>
              <w:t>0.0126</w:t>
            </w:r>
          </w:p>
        </w:tc>
        <w:tc>
          <w:tcPr>
            <w:tcW w:w="386" w:type="pct"/>
          </w:tcPr>
          <w:p w14:paraId="44A41449" w14:textId="77777777" w:rsidR="002163B7" w:rsidRPr="002163B7" w:rsidRDefault="002163B7" w:rsidP="002163B7">
            <w:pPr>
              <w:rPr>
                <w:rFonts w:cs="Arial"/>
                <w:bCs/>
                <w:szCs w:val="16"/>
              </w:rPr>
            </w:pPr>
            <w:r w:rsidRPr="002163B7">
              <w:rPr>
                <w:rFonts w:cs="Arial"/>
                <w:bCs/>
                <w:szCs w:val="16"/>
              </w:rPr>
              <w:t>-1.4240</w:t>
            </w:r>
          </w:p>
        </w:tc>
        <w:tc>
          <w:tcPr>
            <w:tcW w:w="386" w:type="pct"/>
          </w:tcPr>
          <w:p w14:paraId="65AB0524" w14:textId="77777777" w:rsidR="002163B7" w:rsidRPr="002163B7" w:rsidRDefault="002163B7" w:rsidP="002163B7">
            <w:pPr>
              <w:rPr>
                <w:rFonts w:cs="Arial"/>
                <w:bCs/>
                <w:szCs w:val="16"/>
              </w:rPr>
            </w:pPr>
            <w:r w:rsidRPr="002163B7">
              <w:rPr>
                <w:rFonts w:cs="Arial"/>
                <w:bCs/>
                <w:szCs w:val="16"/>
              </w:rPr>
              <w:t>0.1544</w:t>
            </w:r>
          </w:p>
        </w:tc>
        <w:tc>
          <w:tcPr>
            <w:tcW w:w="386" w:type="pct"/>
          </w:tcPr>
          <w:p w14:paraId="6CF12100" w14:textId="77777777" w:rsidR="002163B7" w:rsidRPr="002163B7" w:rsidRDefault="002163B7" w:rsidP="002163B7">
            <w:pPr>
              <w:rPr>
                <w:rFonts w:cs="Arial"/>
                <w:bCs/>
                <w:szCs w:val="16"/>
              </w:rPr>
            </w:pPr>
            <w:r w:rsidRPr="002163B7">
              <w:rPr>
                <w:rFonts w:cs="Arial"/>
                <w:bCs/>
                <w:szCs w:val="16"/>
              </w:rPr>
              <w:t>NO</w:t>
            </w:r>
          </w:p>
        </w:tc>
        <w:tc>
          <w:tcPr>
            <w:tcW w:w="575" w:type="pct"/>
          </w:tcPr>
          <w:p w14:paraId="798BDE8E" w14:textId="77777777" w:rsidR="002163B7" w:rsidRPr="002163B7" w:rsidRDefault="002163B7" w:rsidP="002163B7">
            <w:pPr>
              <w:rPr>
                <w:rFonts w:cs="Arial"/>
                <w:bCs/>
                <w:szCs w:val="16"/>
              </w:rPr>
            </w:pPr>
            <w:r w:rsidRPr="002163B7">
              <w:rPr>
                <w:rFonts w:cs="Arial"/>
                <w:bCs/>
                <w:szCs w:val="16"/>
              </w:rPr>
              <w:t>1</w:t>
            </w:r>
          </w:p>
        </w:tc>
      </w:tr>
      <w:tr w:rsidR="007B0FF2" w:rsidRPr="002163B7" w14:paraId="30DB6BCD" w14:textId="77777777" w:rsidTr="007B0FF2">
        <w:tc>
          <w:tcPr>
            <w:tcW w:w="582" w:type="pct"/>
          </w:tcPr>
          <w:p w14:paraId="5E00513C" w14:textId="77777777" w:rsidR="002163B7" w:rsidRPr="002163B7" w:rsidRDefault="002163B7" w:rsidP="002163B7">
            <w:pPr>
              <w:rPr>
                <w:rFonts w:cs="Arial"/>
                <w:b/>
                <w:bCs/>
                <w:szCs w:val="16"/>
              </w:rPr>
            </w:pPr>
            <w:r w:rsidRPr="002163B7">
              <w:rPr>
                <w:rFonts w:cs="Arial"/>
                <w:b/>
                <w:bCs/>
                <w:szCs w:val="16"/>
              </w:rPr>
              <w:t>SS2/Outcome B: Knowledge and Skills</w:t>
            </w:r>
          </w:p>
        </w:tc>
        <w:tc>
          <w:tcPr>
            <w:tcW w:w="409" w:type="pct"/>
          </w:tcPr>
          <w:p w14:paraId="4D395E56" w14:textId="7D237C82" w:rsidR="002163B7" w:rsidRPr="002163B7" w:rsidRDefault="002163B7" w:rsidP="002163B7">
            <w:pPr>
              <w:rPr>
                <w:rFonts w:cs="Arial"/>
                <w:bCs/>
                <w:szCs w:val="16"/>
              </w:rPr>
            </w:pPr>
            <w:r w:rsidRPr="002163B7">
              <w:rPr>
                <w:rFonts w:cs="Arial"/>
                <w:bCs/>
                <w:szCs w:val="16"/>
              </w:rPr>
              <w:t>2,657</w:t>
            </w:r>
          </w:p>
        </w:tc>
        <w:tc>
          <w:tcPr>
            <w:tcW w:w="451" w:type="pct"/>
          </w:tcPr>
          <w:p w14:paraId="2CE4E688" w14:textId="5431A696" w:rsidR="002163B7" w:rsidRPr="002163B7" w:rsidRDefault="002163B7" w:rsidP="002163B7">
            <w:pPr>
              <w:rPr>
                <w:rFonts w:cs="Arial"/>
                <w:bCs/>
                <w:szCs w:val="16"/>
              </w:rPr>
            </w:pPr>
            <w:r w:rsidRPr="002163B7">
              <w:rPr>
                <w:rFonts w:cs="Arial"/>
                <w:bCs/>
                <w:szCs w:val="16"/>
              </w:rPr>
              <w:t>27.21%</w:t>
            </w:r>
          </w:p>
        </w:tc>
        <w:tc>
          <w:tcPr>
            <w:tcW w:w="409" w:type="pct"/>
          </w:tcPr>
          <w:p w14:paraId="646CA85A" w14:textId="3C895BAE" w:rsidR="002163B7" w:rsidRPr="002163B7" w:rsidRDefault="002163B7" w:rsidP="002163B7">
            <w:pPr>
              <w:rPr>
                <w:rFonts w:cs="Arial"/>
                <w:bCs/>
                <w:szCs w:val="16"/>
              </w:rPr>
            </w:pPr>
            <w:r w:rsidRPr="002163B7">
              <w:rPr>
                <w:rFonts w:cs="Arial"/>
                <w:bCs/>
                <w:szCs w:val="16"/>
              </w:rPr>
              <w:t>2,935</w:t>
            </w:r>
          </w:p>
        </w:tc>
        <w:tc>
          <w:tcPr>
            <w:tcW w:w="451" w:type="pct"/>
          </w:tcPr>
          <w:p w14:paraId="37836055" w14:textId="1351FC3C" w:rsidR="002163B7" w:rsidRPr="002163B7" w:rsidRDefault="002163B7" w:rsidP="002163B7">
            <w:pPr>
              <w:rPr>
                <w:rFonts w:cs="Arial"/>
                <w:bCs/>
                <w:szCs w:val="16"/>
              </w:rPr>
            </w:pPr>
            <w:r w:rsidRPr="002163B7">
              <w:rPr>
                <w:rFonts w:cs="Arial"/>
                <w:bCs/>
                <w:szCs w:val="16"/>
              </w:rPr>
              <w:t>26.58%</w:t>
            </w:r>
          </w:p>
        </w:tc>
        <w:tc>
          <w:tcPr>
            <w:tcW w:w="579" w:type="pct"/>
          </w:tcPr>
          <w:p w14:paraId="46137C56" w14:textId="77777777" w:rsidR="002163B7" w:rsidRPr="002163B7" w:rsidRDefault="002163B7" w:rsidP="002163B7">
            <w:pPr>
              <w:rPr>
                <w:rFonts w:cs="Arial"/>
                <w:bCs/>
                <w:szCs w:val="16"/>
              </w:rPr>
            </w:pPr>
            <w:r w:rsidRPr="002163B7">
              <w:rPr>
                <w:rFonts w:cs="Arial"/>
                <w:bCs/>
                <w:szCs w:val="16"/>
              </w:rPr>
              <w:t>-0.64</w:t>
            </w:r>
          </w:p>
        </w:tc>
        <w:tc>
          <w:tcPr>
            <w:tcW w:w="386" w:type="pct"/>
          </w:tcPr>
          <w:p w14:paraId="7495D8D0" w14:textId="77777777" w:rsidR="002163B7" w:rsidRPr="002163B7" w:rsidRDefault="002163B7" w:rsidP="002163B7">
            <w:pPr>
              <w:rPr>
                <w:rFonts w:cs="Arial"/>
                <w:bCs/>
                <w:szCs w:val="16"/>
              </w:rPr>
            </w:pPr>
            <w:r w:rsidRPr="002163B7">
              <w:rPr>
                <w:rFonts w:cs="Arial"/>
                <w:bCs/>
                <w:szCs w:val="16"/>
              </w:rPr>
              <w:t>0.0119</w:t>
            </w:r>
          </w:p>
        </w:tc>
        <w:tc>
          <w:tcPr>
            <w:tcW w:w="386" w:type="pct"/>
          </w:tcPr>
          <w:p w14:paraId="33ABA125" w14:textId="77777777" w:rsidR="002163B7" w:rsidRPr="002163B7" w:rsidRDefault="002163B7" w:rsidP="002163B7">
            <w:pPr>
              <w:rPr>
                <w:rFonts w:cs="Arial"/>
                <w:bCs/>
                <w:szCs w:val="16"/>
              </w:rPr>
            </w:pPr>
            <w:r w:rsidRPr="002163B7">
              <w:rPr>
                <w:rFonts w:cs="Arial"/>
                <w:bCs/>
                <w:szCs w:val="16"/>
              </w:rPr>
              <w:t>-0.5350</w:t>
            </w:r>
          </w:p>
        </w:tc>
        <w:tc>
          <w:tcPr>
            <w:tcW w:w="386" w:type="pct"/>
          </w:tcPr>
          <w:p w14:paraId="5A51CC66" w14:textId="77777777" w:rsidR="002163B7" w:rsidRPr="002163B7" w:rsidRDefault="002163B7" w:rsidP="002163B7">
            <w:pPr>
              <w:rPr>
                <w:rFonts w:cs="Arial"/>
                <w:bCs/>
                <w:szCs w:val="16"/>
              </w:rPr>
            </w:pPr>
            <w:r w:rsidRPr="002163B7">
              <w:rPr>
                <w:rFonts w:cs="Arial"/>
                <w:bCs/>
                <w:szCs w:val="16"/>
              </w:rPr>
              <w:t>0.5927</w:t>
            </w:r>
          </w:p>
        </w:tc>
        <w:tc>
          <w:tcPr>
            <w:tcW w:w="386" w:type="pct"/>
          </w:tcPr>
          <w:p w14:paraId="0F1B5B98" w14:textId="77777777" w:rsidR="002163B7" w:rsidRPr="002163B7" w:rsidRDefault="002163B7" w:rsidP="002163B7">
            <w:pPr>
              <w:rPr>
                <w:rFonts w:cs="Arial"/>
                <w:bCs/>
                <w:szCs w:val="16"/>
              </w:rPr>
            </w:pPr>
            <w:r w:rsidRPr="002163B7">
              <w:rPr>
                <w:rFonts w:cs="Arial"/>
                <w:bCs/>
                <w:szCs w:val="16"/>
              </w:rPr>
              <w:t>NO</w:t>
            </w:r>
          </w:p>
        </w:tc>
        <w:tc>
          <w:tcPr>
            <w:tcW w:w="575" w:type="pct"/>
          </w:tcPr>
          <w:p w14:paraId="27959755" w14:textId="77777777" w:rsidR="002163B7" w:rsidRPr="002163B7" w:rsidRDefault="002163B7" w:rsidP="002163B7">
            <w:pPr>
              <w:rPr>
                <w:rFonts w:cs="Arial"/>
                <w:bCs/>
                <w:szCs w:val="16"/>
              </w:rPr>
            </w:pPr>
            <w:r w:rsidRPr="002163B7">
              <w:rPr>
                <w:rFonts w:cs="Arial"/>
                <w:bCs/>
                <w:szCs w:val="16"/>
              </w:rPr>
              <w:t>1</w:t>
            </w:r>
          </w:p>
        </w:tc>
      </w:tr>
      <w:tr w:rsidR="007B0FF2" w:rsidRPr="002163B7" w14:paraId="00C318DD" w14:textId="77777777" w:rsidTr="007B0FF2">
        <w:trPr>
          <w:trHeight w:val="31"/>
        </w:trPr>
        <w:tc>
          <w:tcPr>
            <w:tcW w:w="582" w:type="pct"/>
          </w:tcPr>
          <w:p w14:paraId="6CC35BBB" w14:textId="77777777" w:rsidR="002163B7" w:rsidRPr="002163B7" w:rsidRDefault="002163B7" w:rsidP="002163B7">
            <w:pPr>
              <w:rPr>
                <w:rFonts w:cs="Arial"/>
                <w:b/>
                <w:bCs/>
                <w:szCs w:val="16"/>
              </w:rPr>
            </w:pPr>
            <w:r w:rsidRPr="002163B7">
              <w:rPr>
                <w:rFonts w:cs="Arial"/>
                <w:b/>
                <w:bCs/>
                <w:szCs w:val="16"/>
              </w:rPr>
              <w:t>SS2/Outcome C: Actions to meet needs</w:t>
            </w:r>
          </w:p>
        </w:tc>
        <w:tc>
          <w:tcPr>
            <w:tcW w:w="409" w:type="pct"/>
          </w:tcPr>
          <w:p w14:paraId="1DA300FC" w14:textId="14FAE9CD" w:rsidR="002163B7" w:rsidRPr="002163B7" w:rsidRDefault="002163B7" w:rsidP="002163B7">
            <w:pPr>
              <w:rPr>
                <w:rFonts w:cs="Arial"/>
                <w:bCs/>
                <w:szCs w:val="16"/>
              </w:rPr>
            </w:pPr>
            <w:r w:rsidRPr="002163B7">
              <w:rPr>
                <w:rFonts w:cs="Arial"/>
                <w:bCs/>
                <w:szCs w:val="16"/>
              </w:rPr>
              <w:t>2,657</w:t>
            </w:r>
          </w:p>
        </w:tc>
        <w:tc>
          <w:tcPr>
            <w:tcW w:w="451" w:type="pct"/>
          </w:tcPr>
          <w:p w14:paraId="11697454" w14:textId="54436DC8" w:rsidR="002163B7" w:rsidRPr="002163B7" w:rsidRDefault="002163B7" w:rsidP="002163B7">
            <w:pPr>
              <w:rPr>
                <w:rFonts w:cs="Arial"/>
                <w:bCs/>
                <w:szCs w:val="16"/>
              </w:rPr>
            </w:pPr>
            <w:r w:rsidRPr="002163B7">
              <w:rPr>
                <w:rFonts w:cs="Arial"/>
                <w:bCs/>
                <w:szCs w:val="16"/>
              </w:rPr>
              <w:t>54.72%</w:t>
            </w:r>
          </w:p>
        </w:tc>
        <w:tc>
          <w:tcPr>
            <w:tcW w:w="409" w:type="pct"/>
          </w:tcPr>
          <w:p w14:paraId="15A07783" w14:textId="7CD02A10" w:rsidR="002163B7" w:rsidRPr="002163B7" w:rsidRDefault="002163B7" w:rsidP="002163B7">
            <w:pPr>
              <w:rPr>
                <w:rFonts w:cs="Arial"/>
                <w:bCs/>
                <w:szCs w:val="16"/>
              </w:rPr>
            </w:pPr>
            <w:r w:rsidRPr="002163B7">
              <w:rPr>
                <w:rFonts w:cs="Arial"/>
                <w:bCs/>
                <w:szCs w:val="16"/>
              </w:rPr>
              <w:t>2,935</w:t>
            </w:r>
          </w:p>
        </w:tc>
        <w:tc>
          <w:tcPr>
            <w:tcW w:w="451" w:type="pct"/>
          </w:tcPr>
          <w:p w14:paraId="48158A85" w14:textId="5FA103FF" w:rsidR="002163B7" w:rsidRPr="002163B7" w:rsidRDefault="002163B7" w:rsidP="002163B7">
            <w:pPr>
              <w:rPr>
                <w:rFonts w:cs="Arial"/>
                <w:bCs/>
                <w:szCs w:val="16"/>
              </w:rPr>
            </w:pPr>
            <w:r w:rsidRPr="002163B7">
              <w:rPr>
                <w:rFonts w:cs="Arial"/>
                <w:bCs/>
                <w:szCs w:val="16"/>
              </w:rPr>
              <w:t>49.37%</w:t>
            </w:r>
          </w:p>
        </w:tc>
        <w:tc>
          <w:tcPr>
            <w:tcW w:w="579" w:type="pct"/>
          </w:tcPr>
          <w:p w14:paraId="7D6FF76A" w14:textId="77777777" w:rsidR="002163B7" w:rsidRPr="002163B7" w:rsidRDefault="002163B7" w:rsidP="002163B7">
            <w:pPr>
              <w:rPr>
                <w:rFonts w:cs="Arial"/>
                <w:bCs/>
                <w:szCs w:val="16"/>
              </w:rPr>
            </w:pPr>
            <w:r w:rsidRPr="002163B7">
              <w:rPr>
                <w:rFonts w:cs="Arial"/>
                <w:bCs/>
                <w:szCs w:val="16"/>
              </w:rPr>
              <w:t>-5.35</w:t>
            </w:r>
          </w:p>
        </w:tc>
        <w:tc>
          <w:tcPr>
            <w:tcW w:w="386" w:type="pct"/>
          </w:tcPr>
          <w:p w14:paraId="4B739B50" w14:textId="77777777" w:rsidR="002163B7" w:rsidRPr="002163B7" w:rsidRDefault="002163B7" w:rsidP="002163B7">
            <w:pPr>
              <w:rPr>
                <w:rFonts w:cs="Arial"/>
                <w:bCs/>
                <w:szCs w:val="16"/>
              </w:rPr>
            </w:pPr>
            <w:r w:rsidRPr="002163B7">
              <w:rPr>
                <w:rFonts w:cs="Arial"/>
                <w:bCs/>
                <w:szCs w:val="16"/>
              </w:rPr>
              <w:t>0.0134</w:t>
            </w:r>
          </w:p>
        </w:tc>
        <w:tc>
          <w:tcPr>
            <w:tcW w:w="386" w:type="pct"/>
          </w:tcPr>
          <w:p w14:paraId="2D1A2501" w14:textId="77777777" w:rsidR="002163B7" w:rsidRPr="002163B7" w:rsidRDefault="002163B7" w:rsidP="002163B7">
            <w:pPr>
              <w:rPr>
                <w:rFonts w:cs="Arial"/>
                <w:bCs/>
                <w:szCs w:val="16"/>
              </w:rPr>
            </w:pPr>
            <w:r w:rsidRPr="002163B7">
              <w:rPr>
                <w:rFonts w:cs="Arial"/>
                <w:bCs/>
                <w:szCs w:val="16"/>
              </w:rPr>
              <w:t>-4.0081</w:t>
            </w:r>
          </w:p>
        </w:tc>
        <w:tc>
          <w:tcPr>
            <w:tcW w:w="386" w:type="pct"/>
          </w:tcPr>
          <w:p w14:paraId="5F0A6224" w14:textId="77777777" w:rsidR="002163B7" w:rsidRPr="002163B7" w:rsidRDefault="002163B7" w:rsidP="002163B7">
            <w:pPr>
              <w:rPr>
                <w:rFonts w:cs="Arial"/>
                <w:bCs/>
                <w:szCs w:val="16"/>
              </w:rPr>
            </w:pPr>
            <w:r w:rsidRPr="002163B7">
              <w:rPr>
                <w:rFonts w:cs="Arial"/>
                <w:bCs/>
                <w:szCs w:val="16"/>
              </w:rPr>
              <w:t>0.0001</w:t>
            </w:r>
          </w:p>
        </w:tc>
        <w:tc>
          <w:tcPr>
            <w:tcW w:w="386" w:type="pct"/>
          </w:tcPr>
          <w:p w14:paraId="2C63E38F" w14:textId="77777777" w:rsidR="002163B7" w:rsidRPr="002163B7" w:rsidRDefault="002163B7" w:rsidP="002163B7">
            <w:pPr>
              <w:rPr>
                <w:rFonts w:cs="Arial"/>
                <w:bCs/>
                <w:szCs w:val="16"/>
              </w:rPr>
            </w:pPr>
            <w:r w:rsidRPr="002163B7">
              <w:rPr>
                <w:rFonts w:cs="Arial"/>
                <w:bCs/>
                <w:szCs w:val="16"/>
              </w:rPr>
              <w:t>YES</w:t>
            </w:r>
          </w:p>
        </w:tc>
        <w:tc>
          <w:tcPr>
            <w:tcW w:w="575" w:type="pct"/>
          </w:tcPr>
          <w:p w14:paraId="0F1DAEAF" w14:textId="77777777" w:rsidR="002163B7" w:rsidRPr="002163B7" w:rsidRDefault="002163B7" w:rsidP="002163B7">
            <w:pPr>
              <w:rPr>
                <w:rFonts w:cs="Arial"/>
                <w:bCs/>
                <w:szCs w:val="16"/>
              </w:rPr>
            </w:pPr>
            <w:r w:rsidRPr="002163B7">
              <w:rPr>
                <w:rFonts w:cs="Arial"/>
                <w:bCs/>
                <w:szCs w:val="16"/>
              </w:rPr>
              <w:t>0</w:t>
            </w:r>
          </w:p>
        </w:tc>
      </w:tr>
    </w:tbl>
    <w:p w14:paraId="579D8CFB" w14:textId="77777777" w:rsidR="002163B7" w:rsidRPr="002163B7" w:rsidRDefault="002163B7" w:rsidP="002163B7">
      <w:pPr>
        <w:rPr>
          <w:rFonts w:cs="Arial"/>
          <w:b/>
          <w:szCs w:val="16"/>
        </w:rPr>
      </w:pPr>
    </w:p>
    <w:tbl>
      <w:tblPr>
        <w:tblStyle w:val="TableGrid1"/>
        <w:tblW w:w="10898" w:type="dxa"/>
        <w:tblLook w:val="04A0" w:firstRow="1" w:lastRow="0" w:firstColumn="1" w:lastColumn="0" w:noHBand="0" w:noVBand="1"/>
        <w:tblCaption w:val="C03SSCOYTYFNL"/>
      </w:tblPr>
      <w:tblGrid>
        <w:gridCol w:w="5449"/>
        <w:gridCol w:w="5449"/>
      </w:tblGrid>
      <w:tr w:rsidR="002163B7" w:rsidRPr="002163B7" w14:paraId="5F238957" w14:textId="77777777" w:rsidTr="008F04FB">
        <w:trPr>
          <w:trHeight w:val="314"/>
        </w:trPr>
        <w:tc>
          <w:tcPr>
            <w:tcW w:w="5449" w:type="dxa"/>
          </w:tcPr>
          <w:p w14:paraId="523669F3" w14:textId="77777777" w:rsidR="002163B7" w:rsidRPr="002163B7" w:rsidRDefault="002163B7" w:rsidP="002163B7">
            <w:pPr>
              <w:rPr>
                <w:rFonts w:cs="Arial"/>
                <w:b/>
                <w:bCs/>
                <w:szCs w:val="16"/>
              </w:rPr>
            </w:pPr>
            <w:r w:rsidRPr="002163B7">
              <w:rPr>
                <w:rFonts w:cs="Arial"/>
                <w:b/>
                <w:bCs/>
                <w:szCs w:val="16"/>
              </w:rPr>
              <w:t>Total Points Across SS1 and SS2</w:t>
            </w:r>
          </w:p>
        </w:tc>
        <w:tc>
          <w:tcPr>
            <w:tcW w:w="5449" w:type="dxa"/>
          </w:tcPr>
          <w:p w14:paraId="0C8B82BF" w14:textId="3C567D8C" w:rsidR="002163B7" w:rsidRPr="002163B7" w:rsidRDefault="002163B7" w:rsidP="002163B7">
            <w:pPr>
              <w:rPr>
                <w:rFonts w:cs="Arial"/>
                <w:b/>
                <w:bCs/>
                <w:szCs w:val="16"/>
              </w:rPr>
            </w:pPr>
            <w:r w:rsidRPr="002163B7">
              <w:rPr>
                <w:rFonts w:cs="Arial"/>
                <w:b/>
                <w:bCs/>
                <w:szCs w:val="16"/>
              </w:rPr>
              <w:t>5</w:t>
            </w:r>
          </w:p>
        </w:tc>
      </w:tr>
    </w:tbl>
    <w:p w14:paraId="7158B208" w14:textId="77777777" w:rsidR="002163B7" w:rsidRPr="002163B7" w:rsidRDefault="002163B7" w:rsidP="002163B7">
      <w:pPr>
        <w:rPr>
          <w:rFonts w:cs="Arial"/>
          <w:b/>
          <w:szCs w:val="16"/>
        </w:rPr>
      </w:pPr>
    </w:p>
    <w:tbl>
      <w:tblPr>
        <w:tblStyle w:val="TableGrid1"/>
        <w:tblW w:w="10909" w:type="dxa"/>
        <w:tblLook w:val="04A0" w:firstRow="1" w:lastRow="0" w:firstColumn="1" w:lastColumn="0" w:noHBand="0" w:noVBand="1"/>
        <w:tblCaption w:val="C03STEPRMFNL"/>
      </w:tblPr>
      <w:tblGrid>
        <w:gridCol w:w="5440"/>
        <w:gridCol w:w="5469"/>
      </w:tblGrid>
      <w:tr w:rsidR="002163B7" w:rsidRPr="002163B7" w14:paraId="24A56F99" w14:textId="77777777" w:rsidTr="008F04FB">
        <w:trPr>
          <w:trHeight w:val="342"/>
        </w:trPr>
        <w:tc>
          <w:tcPr>
            <w:tcW w:w="5440" w:type="dxa"/>
          </w:tcPr>
          <w:p w14:paraId="72B2DE88" w14:textId="77777777" w:rsidR="002163B7" w:rsidRPr="002163B7" w:rsidRDefault="002163B7" w:rsidP="002163B7">
            <w:pPr>
              <w:rPr>
                <w:rFonts w:cs="Arial"/>
                <w:b/>
                <w:bCs/>
                <w:szCs w:val="16"/>
              </w:rPr>
            </w:pPr>
            <w:r w:rsidRPr="002163B7">
              <w:rPr>
                <w:rFonts w:cs="Arial"/>
                <w:b/>
                <w:bCs/>
                <w:szCs w:val="16"/>
              </w:rPr>
              <w:t>Your State’s Performance Change Score</w:t>
            </w:r>
          </w:p>
        </w:tc>
        <w:tc>
          <w:tcPr>
            <w:tcW w:w="5469" w:type="dxa"/>
          </w:tcPr>
          <w:p w14:paraId="530FEA89" w14:textId="77BEFD58" w:rsidR="002163B7" w:rsidRPr="002163B7" w:rsidRDefault="002163B7" w:rsidP="002163B7">
            <w:pPr>
              <w:rPr>
                <w:rFonts w:cs="Arial"/>
                <w:b/>
                <w:bCs/>
                <w:szCs w:val="16"/>
              </w:rPr>
            </w:pPr>
            <w:r w:rsidRPr="002163B7">
              <w:rPr>
                <w:rFonts w:cs="Arial"/>
                <w:b/>
                <w:bCs/>
                <w:szCs w:val="16"/>
              </w:rPr>
              <w:t>1</w:t>
            </w:r>
          </w:p>
        </w:tc>
      </w:tr>
    </w:tbl>
    <w:p w14:paraId="568AEF09" w14:textId="77777777" w:rsidR="00A241E8" w:rsidRDefault="00A241E8">
      <w:pPr>
        <w:spacing w:before="0" w:after="200" w:line="276" w:lineRule="auto"/>
      </w:pPr>
      <w:r>
        <w:br w:type="page"/>
      </w:r>
    </w:p>
    <w:p w14:paraId="2EF3D8DB" w14:textId="77777777" w:rsidR="00E74450" w:rsidRDefault="00E74450" w:rsidP="00EC51AB"/>
    <w:p w14:paraId="095BF10D" w14:textId="513665FF" w:rsidR="000135C2" w:rsidRDefault="000135C2" w:rsidP="000135C2">
      <w:pPr>
        <w:pStyle w:val="Heading2"/>
      </w:pPr>
      <w:r w:rsidRPr="003E43D9">
        <w:t>Data Rubric</w:t>
      </w:r>
    </w:p>
    <w:p w14:paraId="0AB4D663" w14:textId="77777777" w:rsidR="000D7F9F" w:rsidRPr="000D7F9F" w:rsidRDefault="000D7F9F" w:rsidP="000D7F9F">
      <w:pPr>
        <w:rPr>
          <w:b/>
          <w:bCs/>
          <w:sz w:val="18"/>
          <w:szCs w:val="18"/>
        </w:rPr>
      </w:pPr>
      <w:r w:rsidRPr="000D7F9F">
        <w:rPr>
          <w:b/>
          <w:bCs/>
          <w:sz w:val="18"/>
          <w:szCs w:val="18"/>
        </w:rPr>
        <w:t>Louisiana</w:t>
      </w:r>
    </w:p>
    <w:p w14:paraId="4FA14AEC" w14:textId="77777777" w:rsidR="00BB2AAF" w:rsidRDefault="00BB2AAF" w:rsidP="00976350">
      <w:pPr>
        <w:rPr>
          <w:b/>
          <w:bCs/>
        </w:rPr>
      </w:pPr>
    </w:p>
    <w:p w14:paraId="60B91978" w14:textId="1DFEB26D" w:rsidR="00DC6D97" w:rsidRPr="004227F4" w:rsidRDefault="003445A2" w:rsidP="00976350">
      <w:pPr>
        <w:rPr>
          <w:b/>
          <w:bCs/>
          <w:szCs w:val="16"/>
        </w:rPr>
      </w:pPr>
      <w:r w:rsidRPr="006B69D7">
        <w:rPr>
          <w:b/>
          <w:bCs/>
        </w:rPr>
        <w:t>FFY 2</w:t>
      </w:r>
      <w:r w:rsidRPr="004227F4">
        <w:rPr>
          <w:b/>
          <w:bCs/>
          <w:szCs w:val="16"/>
        </w:rPr>
        <w:t>02</w:t>
      </w:r>
      <w:r w:rsidR="00C03D72">
        <w:rPr>
          <w:b/>
          <w:bCs/>
          <w:szCs w:val="16"/>
        </w:rPr>
        <w:t>3</w:t>
      </w:r>
      <w:r w:rsidRPr="004227F4">
        <w:rPr>
          <w:b/>
          <w:bCs/>
          <w:szCs w:val="16"/>
        </w:rPr>
        <w:t xml:space="preserve"> APR</w:t>
      </w:r>
      <w:r w:rsidR="009D31F8" w:rsidRPr="004227F4">
        <w:rPr>
          <w:b/>
          <w:bCs/>
          <w:szCs w:val="16"/>
        </w:rPr>
        <w:t xml:space="preserve"> </w:t>
      </w:r>
      <w:r w:rsidR="004227F4" w:rsidRPr="004227F4">
        <w:rPr>
          <w:szCs w:val="16"/>
        </w:rPr>
        <w:t>(1)</w:t>
      </w:r>
    </w:p>
    <w:p w14:paraId="523D5377" w14:textId="134AB56B" w:rsidR="00BB2AAF" w:rsidRPr="004227F4" w:rsidRDefault="004227F4" w:rsidP="005032AF">
      <w:pPr>
        <w:rPr>
          <w:b/>
          <w:bCs/>
          <w:szCs w:val="16"/>
        </w:rPr>
      </w:pPr>
      <w:r w:rsidRPr="004227F4">
        <w:rPr>
          <w:rFonts w:eastAsia="Times New Roman" w:cs="Arial"/>
          <w:b/>
          <w:bCs/>
          <w:szCs w:val="16"/>
        </w:rPr>
        <w:t>Part C Timely and Accurate Data -- SPP/APR Data</w:t>
      </w:r>
    </w:p>
    <w:tbl>
      <w:tblPr>
        <w:tblStyle w:val="TableGrid1"/>
        <w:tblW w:w="9824" w:type="dxa"/>
        <w:tblLook w:val="04A0" w:firstRow="1" w:lastRow="0" w:firstColumn="1" w:lastColumn="0" w:noHBand="0" w:noVBand="1"/>
        <w:tblCaption w:val="CRUBCFFYINDVRSTAT"/>
      </w:tblPr>
      <w:tblGrid>
        <w:gridCol w:w="1866"/>
        <w:gridCol w:w="5260"/>
        <w:gridCol w:w="2698"/>
      </w:tblGrid>
      <w:tr w:rsidR="000135C2" w:rsidRPr="00210AC6" w14:paraId="7644F667" w14:textId="77777777" w:rsidTr="005032AF">
        <w:trPr>
          <w:trHeight w:val="440"/>
        </w:trPr>
        <w:tc>
          <w:tcPr>
            <w:tcW w:w="1866" w:type="dxa"/>
            <w:vAlign w:val="center"/>
            <w:hideMark/>
          </w:tcPr>
          <w:p w14:paraId="668AD22D"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14:paraId="76ADF178"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14:paraId="0A1582BB"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Total</w:t>
            </w:r>
          </w:p>
        </w:tc>
      </w:tr>
      <w:tr w:rsidR="00CC21DE" w:rsidRPr="00210AC6" w14:paraId="4BDCC11C" w14:textId="77777777" w:rsidTr="005032AF">
        <w:trPr>
          <w:trHeight w:val="440"/>
        </w:trPr>
        <w:tc>
          <w:tcPr>
            <w:tcW w:w="1866" w:type="dxa"/>
            <w:vAlign w:val="center"/>
            <w:hideMark/>
          </w:tcPr>
          <w:p w14:paraId="4EADCFA5" w14:textId="4576C419" w:rsidR="00CC21DE" w:rsidRPr="00CC21DE" w:rsidRDefault="00CC21DE" w:rsidP="00A47616">
            <w:pPr>
              <w:spacing w:before="0" w:after="0"/>
              <w:jc w:val="center"/>
              <w:rPr>
                <w:rFonts w:eastAsia="Times New Roman" w:cs="Arial"/>
                <w:b/>
                <w:bCs/>
                <w:szCs w:val="16"/>
              </w:rPr>
            </w:pPr>
            <w:r w:rsidRPr="00CC21DE">
              <w:rPr>
                <w:b/>
                <w:bCs/>
              </w:rPr>
              <w:t>1</w:t>
            </w:r>
          </w:p>
        </w:tc>
        <w:tc>
          <w:tcPr>
            <w:tcW w:w="5260" w:type="dxa"/>
            <w:vAlign w:val="center"/>
            <w:hideMark/>
          </w:tcPr>
          <w:p w14:paraId="7D03BB17" w14:textId="1F605F9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132D4C82" w14:textId="723349EC" w:rsidR="00CC21DE" w:rsidRPr="00210AC6" w:rsidRDefault="00CC21DE" w:rsidP="00A47616">
            <w:pPr>
              <w:spacing w:before="0" w:after="0"/>
              <w:jc w:val="center"/>
              <w:rPr>
                <w:rFonts w:eastAsia="Times New Roman" w:cs="Arial"/>
                <w:szCs w:val="16"/>
              </w:rPr>
            </w:pPr>
            <w:r>
              <w:t>1</w:t>
            </w:r>
          </w:p>
        </w:tc>
      </w:tr>
      <w:tr w:rsidR="00CC21DE" w:rsidRPr="00210AC6" w14:paraId="253B684B" w14:textId="77777777" w:rsidTr="005032AF">
        <w:trPr>
          <w:trHeight w:val="440"/>
        </w:trPr>
        <w:tc>
          <w:tcPr>
            <w:tcW w:w="1866" w:type="dxa"/>
            <w:vAlign w:val="center"/>
            <w:hideMark/>
          </w:tcPr>
          <w:p w14:paraId="6EE93D9D" w14:textId="5987E4C1" w:rsidR="00CC21DE" w:rsidRPr="00CC21DE" w:rsidRDefault="00CC21DE" w:rsidP="00A47616">
            <w:pPr>
              <w:spacing w:before="0" w:after="0"/>
              <w:jc w:val="center"/>
              <w:rPr>
                <w:rFonts w:eastAsia="Times New Roman" w:cs="Arial"/>
                <w:b/>
                <w:bCs/>
                <w:szCs w:val="16"/>
              </w:rPr>
            </w:pPr>
            <w:r w:rsidRPr="00CC21DE">
              <w:rPr>
                <w:b/>
                <w:bCs/>
              </w:rPr>
              <w:t>2</w:t>
            </w:r>
          </w:p>
        </w:tc>
        <w:tc>
          <w:tcPr>
            <w:tcW w:w="5260" w:type="dxa"/>
            <w:vAlign w:val="center"/>
            <w:hideMark/>
          </w:tcPr>
          <w:p w14:paraId="04EDA633" w14:textId="3B3AC7E9"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2C0DB73D" w14:textId="27A8A3B6" w:rsidR="00CC21DE" w:rsidRPr="00210AC6" w:rsidRDefault="00CC21DE" w:rsidP="00A47616">
            <w:pPr>
              <w:spacing w:before="0" w:after="0"/>
              <w:jc w:val="center"/>
              <w:rPr>
                <w:rFonts w:eastAsia="Times New Roman" w:cs="Arial"/>
                <w:szCs w:val="16"/>
              </w:rPr>
            </w:pPr>
            <w:r>
              <w:t>1</w:t>
            </w:r>
          </w:p>
        </w:tc>
      </w:tr>
      <w:tr w:rsidR="00CC21DE" w:rsidRPr="00210AC6" w14:paraId="4D7B3C27" w14:textId="77777777" w:rsidTr="005032AF">
        <w:trPr>
          <w:trHeight w:val="440"/>
        </w:trPr>
        <w:tc>
          <w:tcPr>
            <w:tcW w:w="1866" w:type="dxa"/>
            <w:vAlign w:val="center"/>
            <w:hideMark/>
          </w:tcPr>
          <w:p w14:paraId="731CC382" w14:textId="67E6F435" w:rsidR="00CC21DE" w:rsidRPr="00CC21DE" w:rsidRDefault="00CC21DE" w:rsidP="00A47616">
            <w:pPr>
              <w:spacing w:before="0" w:after="0"/>
              <w:jc w:val="center"/>
              <w:rPr>
                <w:rFonts w:eastAsia="Times New Roman" w:cs="Arial"/>
                <w:b/>
                <w:bCs/>
                <w:szCs w:val="16"/>
              </w:rPr>
            </w:pPr>
            <w:r w:rsidRPr="00CC21DE">
              <w:rPr>
                <w:b/>
                <w:bCs/>
              </w:rPr>
              <w:t>3</w:t>
            </w:r>
          </w:p>
        </w:tc>
        <w:tc>
          <w:tcPr>
            <w:tcW w:w="5260" w:type="dxa"/>
            <w:vAlign w:val="center"/>
            <w:hideMark/>
          </w:tcPr>
          <w:p w14:paraId="31855042" w14:textId="729A0E9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264BB88" w14:textId="2D0CB2F7" w:rsidR="00CC21DE" w:rsidRPr="00210AC6" w:rsidRDefault="00CC21DE" w:rsidP="00A47616">
            <w:pPr>
              <w:spacing w:before="0" w:after="0"/>
              <w:jc w:val="center"/>
              <w:rPr>
                <w:rFonts w:eastAsia="Times New Roman" w:cs="Arial"/>
                <w:szCs w:val="16"/>
              </w:rPr>
            </w:pPr>
            <w:r>
              <w:t>1</w:t>
            </w:r>
          </w:p>
        </w:tc>
      </w:tr>
      <w:tr w:rsidR="00CC21DE" w:rsidRPr="00210AC6" w14:paraId="6F6A3652" w14:textId="77777777" w:rsidTr="005032AF">
        <w:trPr>
          <w:trHeight w:val="440"/>
        </w:trPr>
        <w:tc>
          <w:tcPr>
            <w:tcW w:w="1866" w:type="dxa"/>
            <w:vAlign w:val="center"/>
            <w:hideMark/>
          </w:tcPr>
          <w:p w14:paraId="0BBF85A7" w14:textId="2C95623C" w:rsidR="00CC21DE" w:rsidRPr="00CC21DE" w:rsidRDefault="00CC21DE" w:rsidP="00A47616">
            <w:pPr>
              <w:spacing w:before="0" w:after="0"/>
              <w:jc w:val="center"/>
              <w:rPr>
                <w:rFonts w:eastAsia="Times New Roman" w:cs="Arial"/>
                <w:b/>
                <w:bCs/>
                <w:szCs w:val="16"/>
              </w:rPr>
            </w:pPr>
            <w:r w:rsidRPr="00CC21DE">
              <w:rPr>
                <w:b/>
                <w:bCs/>
              </w:rPr>
              <w:t>4</w:t>
            </w:r>
          </w:p>
        </w:tc>
        <w:tc>
          <w:tcPr>
            <w:tcW w:w="5260" w:type="dxa"/>
            <w:vAlign w:val="center"/>
            <w:hideMark/>
          </w:tcPr>
          <w:p w14:paraId="4D771735" w14:textId="6E815A8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CC2274A" w14:textId="6ACC931F" w:rsidR="00CC21DE" w:rsidRPr="00210AC6" w:rsidRDefault="00CC21DE" w:rsidP="00A47616">
            <w:pPr>
              <w:spacing w:before="0" w:after="0"/>
              <w:jc w:val="center"/>
              <w:rPr>
                <w:rFonts w:eastAsia="Times New Roman" w:cs="Arial"/>
                <w:szCs w:val="16"/>
              </w:rPr>
            </w:pPr>
            <w:r>
              <w:t>1</w:t>
            </w:r>
          </w:p>
        </w:tc>
      </w:tr>
      <w:tr w:rsidR="00CC21DE" w:rsidRPr="00210AC6" w14:paraId="18A61206" w14:textId="77777777" w:rsidTr="005032AF">
        <w:trPr>
          <w:trHeight w:val="440"/>
        </w:trPr>
        <w:tc>
          <w:tcPr>
            <w:tcW w:w="1866" w:type="dxa"/>
            <w:vAlign w:val="center"/>
            <w:hideMark/>
          </w:tcPr>
          <w:p w14:paraId="58B2CC1E" w14:textId="155AF1A7" w:rsidR="00CC21DE" w:rsidRPr="00CC21DE" w:rsidRDefault="00CC21DE" w:rsidP="00A47616">
            <w:pPr>
              <w:spacing w:before="0" w:after="0"/>
              <w:jc w:val="center"/>
              <w:rPr>
                <w:rFonts w:eastAsia="Times New Roman" w:cs="Arial"/>
                <w:b/>
                <w:bCs/>
                <w:szCs w:val="16"/>
              </w:rPr>
            </w:pPr>
            <w:r w:rsidRPr="00CC21DE">
              <w:rPr>
                <w:b/>
                <w:bCs/>
              </w:rPr>
              <w:t>5</w:t>
            </w:r>
          </w:p>
        </w:tc>
        <w:tc>
          <w:tcPr>
            <w:tcW w:w="5260" w:type="dxa"/>
            <w:vAlign w:val="center"/>
            <w:hideMark/>
          </w:tcPr>
          <w:p w14:paraId="5E4D7D21" w14:textId="53363ECC"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5DC639D9" w14:textId="1B748DB6" w:rsidR="00CC21DE" w:rsidRPr="00210AC6" w:rsidRDefault="00CC21DE" w:rsidP="00A47616">
            <w:pPr>
              <w:spacing w:before="0" w:after="0"/>
              <w:jc w:val="center"/>
              <w:rPr>
                <w:rFonts w:eastAsia="Times New Roman" w:cs="Arial"/>
                <w:szCs w:val="16"/>
              </w:rPr>
            </w:pPr>
            <w:r>
              <w:t>1</w:t>
            </w:r>
          </w:p>
        </w:tc>
      </w:tr>
      <w:tr w:rsidR="00CC21DE" w:rsidRPr="00210AC6" w14:paraId="6B821000" w14:textId="77777777" w:rsidTr="005032AF">
        <w:trPr>
          <w:trHeight w:val="440"/>
        </w:trPr>
        <w:tc>
          <w:tcPr>
            <w:tcW w:w="1866" w:type="dxa"/>
            <w:vAlign w:val="center"/>
            <w:hideMark/>
          </w:tcPr>
          <w:p w14:paraId="360E4201" w14:textId="4AC81051" w:rsidR="00CC21DE" w:rsidRPr="00CC21DE" w:rsidRDefault="00CC21DE" w:rsidP="00A47616">
            <w:pPr>
              <w:spacing w:before="0" w:after="0"/>
              <w:jc w:val="center"/>
              <w:rPr>
                <w:rFonts w:eastAsia="Times New Roman" w:cs="Arial"/>
                <w:b/>
                <w:bCs/>
                <w:szCs w:val="16"/>
              </w:rPr>
            </w:pPr>
            <w:r w:rsidRPr="00CC21DE">
              <w:rPr>
                <w:b/>
                <w:bCs/>
              </w:rPr>
              <w:t>6</w:t>
            </w:r>
          </w:p>
        </w:tc>
        <w:tc>
          <w:tcPr>
            <w:tcW w:w="5260" w:type="dxa"/>
            <w:vAlign w:val="center"/>
            <w:hideMark/>
          </w:tcPr>
          <w:p w14:paraId="5C06E153" w14:textId="0DD158FD"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0EFF1981" w14:textId="385CBECF" w:rsidR="00CC21DE" w:rsidRPr="00210AC6" w:rsidRDefault="00CC21DE" w:rsidP="00A47616">
            <w:pPr>
              <w:spacing w:before="0" w:after="0"/>
              <w:jc w:val="center"/>
              <w:rPr>
                <w:rFonts w:eastAsia="Times New Roman" w:cs="Arial"/>
                <w:szCs w:val="16"/>
              </w:rPr>
            </w:pPr>
            <w:r>
              <w:t>1</w:t>
            </w:r>
          </w:p>
        </w:tc>
      </w:tr>
      <w:tr w:rsidR="00CC21DE" w:rsidRPr="00210AC6" w14:paraId="21E963EB" w14:textId="77777777" w:rsidTr="005032AF">
        <w:trPr>
          <w:trHeight w:val="440"/>
        </w:trPr>
        <w:tc>
          <w:tcPr>
            <w:tcW w:w="1866" w:type="dxa"/>
            <w:vAlign w:val="center"/>
            <w:hideMark/>
          </w:tcPr>
          <w:p w14:paraId="77ACBB4B" w14:textId="04E52CA3" w:rsidR="00CC21DE" w:rsidRPr="00CC21DE" w:rsidRDefault="00CC21DE" w:rsidP="00A47616">
            <w:pPr>
              <w:spacing w:before="0" w:after="0"/>
              <w:jc w:val="center"/>
              <w:rPr>
                <w:rFonts w:eastAsia="Times New Roman" w:cs="Arial"/>
                <w:b/>
                <w:bCs/>
                <w:szCs w:val="16"/>
              </w:rPr>
            </w:pPr>
            <w:r w:rsidRPr="00CC21DE">
              <w:rPr>
                <w:b/>
                <w:bCs/>
              </w:rPr>
              <w:t>7</w:t>
            </w:r>
          </w:p>
        </w:tc>
        <w:tc>
          <w:tcPr>
            <w:tcW w:w="5260" w:type="dxa"/>
            <w:vAlign w:val="center"/>
            <w:hideMark/>
          </w:tcPr>
          <w:p w14:paraId="389A30A5" w14:textId="10E8F435"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0E490249" w14:textId="78496123" w:rsidR="00CC21DE" w:rsidRPr="00210AC6" w:rsidRDefault="00CC21DE" w:rsidP="00A47616">
            <w:pPr>
              <w:spacing w:before="0" w:after="0"/>
              <w:jc w:val="center"/>
              <w:rPr>
                <w:rFonts w:eastAsia="Times New Roman" w:cs="Arial"/>
                <w:szCs w:val="16"/>
              </w:rPr>
            </w:pPr>
            <w:r>
              <w:t>1</w:t>
            </w:r>
          </w:p>
        </w:tc>
      </w:tr>
      <w:tr w:rsidR="00CC21DE" w:rsidRPr="00210AC6" w14:paraId="67AE1B08" w14:textId="77777777" w:rsidTr="005032AF">
        <w:trPr>
          <w:trHeight w:val="440"/>
        </w:trPr>
        <w:tc>
          <w:tcPr>
            <w:tcW w:w="1866" w:type="dxa"/>
            <w:vAlign w:val="center"/>
            <w:hideMark/>
          </w:tcPr>
          <w:p w14:paraId="11AAE718" w14:textId="731967D2" w:rsidR="00CC21DE" w:rsidRPr="00CC21DE" w:rsidRDefault="00CC21DE" w:rsidP="00A47616">
            <w:pPr>
              <w:spacing w:before="0" w:after="0"/>
              <w:jc w:val="center"/>
              <w:rPr>
                <w:rFonts w:eastAsia="Times New Roman" w:cs="Arial"/>
                <w:b/>
                <w:bCs/>
                <w:szCs w:val="16"/>
              </w:rPr>
            </w:pPr>
            <w:r w:rsidRPr="00CC21DE">
              <w:rPr>
                <w:b/>
                <w:bCs/>
              </w:rPr>
              <w:t>8A</w:t>
            </w:r>
          </w:p>
        </w:tc>
        <w:tc>
          <w:tcPr>
            <w:tcW w:w="5260" w:type="dxa"/>
            <w:vAlign w:val="center"/>
            <w:hideMark/>
          </w:tcPr>
          <w:p w14:paraId="64704A73" w14:textId="5122FE92"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42E50999" w14:textId="235E56C6" w:rsidR="00CC21DE" w:rsidRPr="00210AC6" w:rsidRDefault="00CC21DE" w:rsidP="00A47616">
            <w:pPr>
              <w:spacing w:before="0" w:after="0"/>
              <w:jc w:val="center"/>
              <w:rPr>
                <w:rFonts w:eastAsia="Times New Roman" w:cs="Arial"/>
                <w:szCs w:val="16"/>
              </w:rPr>
            </w:pPr>
            <w:r>
              <w:t>1</w:t>
            </w:r>
          </w:p>
        </w:tc>
      </w:tr>
      <w:tr w:rsidR="00CC21DE" w:rsidRPr="00210AC6" w14:paraId="3C6FF3D3" w14:textId="77777777" w:rsidTr="005032AF">
        <w:trPr>
          <w:trHeight w:val="440"/>
        </w:trPr>
        <w:tc>
          <w:tcPr>
            <w:tcW w:w="1866" w:type="dxa"/>
            <w:vAlign w:val="center"/>
            <w:hideMark/>
          </w:tcPr>
          <w:p w14:paraId="1D4FE3B1" w14:textId="0AD54464" w:rsidR="00CC21DE" w:rsidRPr="00CC21DE" w:rsidRDefault="00CC21DE" w:rsidP="00A47616">
            <w:pPr>
              <w:spacing w:before="0" w:after="0"/>
              <w:jc w:val="center"/>
              <w:rPr>
                <w:rFonts w:eastAsia="Times New Roman" w:cs="Arial"/>
                <w:b/>
                <w:bCs/>
                <w:szCs w:val="16"/>
              </w:rPr>
            </w:pPr>
            <w:r w:rsidRPr="00CC21DE">
              <w:rPr>
                <w:b/>
                <w:bCs/>
              </w:rPr>
              <w:t>8B</w:t>
            </w:r>
          </w:p>
        </w:tc>
        <w:tc>
          <w:tcPr>
            <w:tcW w:w="5260" w:type="dxa"/>
            <w:vAlign w:val="center"/>
            <w:hideMark/>
          </w:tcPr>
          <w:p w14:paraId="1CDEB25A" w14:textId="2B2540E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266CF140" w14:textId="59248533" w:rsidR="00CC21DE" w:rsidRPr="00210AC6" w:rsidRDefault="00CC21DE" w:rsidP="00A47616">
            <w:pPr>
              <w:spacing w:before="0" w:after="0"/>
              <w:jc w:val="center"/>
              <w:rPr>
                <w:rFonts w:eastAsia="Times New Roman" w:cs="Arial"/>
                <w:szCs w:val="16"/>
              </w:rPr>
            </w:pPr>
            <w:r>
              <w:t>1</w:t>
            </w:r>
          </w:p>
        </w:tc>
      </w:tr>
      <w:tr w:rsidR="00CC21DE" w:rsidRPr="00210AC6" w14:paraId="714ABEFF" w14:textId="77777777" w:rsidTr="005032AF">
        <w:trPr>
          <w:trHeight w:val="440"/>
        </w:trPr>
        <w:tc>
          <w:tcPr>
            <w:tcW w:w="1866" w:type="dxa"/>
            <w:vAlign w:val="center"/>
            <w:hideMark/>
          </w:tcPr>
          <w:p w14:paraId="2DE9BBBF" w14:textId="3EDDDE66" w:rsidR="00CC21DE" w:rsidRPr="00CC21DE" w:rsidRDefault="00CC21DE" w:rsidP="00A47616">
            <w:pPr>
              <w:spacing w:before="0" w:after="0"/>
              <w:jc w:val="center"/>
              <w:rPr>
                <w:rFonts w:eastAsia="Times New Roman" w:cs="Arial"/>
                <w:b/>
                <w:bCs/>
                <w:szCs w:val="16"/>
              </w:rPr>
            </w:pPr>
            <w:r w:rsidRPr="00CC21DE">
              <w:rPr>
                <w:b/>
                <w:bCs/>
              </w:rPr>
              <w:t>8C</w:t>
            </w:r>
          </w:p>
        </w:tc>
        <w:tc>
          <w:tcPr>
            <w:tcW w:w="5260" w:type="dxa"/>
            <w:vAlign w:val="center"/>
            <w:hideMark/>
          </w:tcPr>
          <w:p w14:paraId="7AD45CE9" w14:textId="7EBDB56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3FFD3E45" w14:textId="2ED2B025" w:rsidR="00CC21DE" w:rsidRPr="00210AC6" w:rsidRDefault="00CC21DE" w:rsidP="00A47616">
            <w:pPr>
              <w:spacing w:before="0" w:after="0"/>
              <w:jc w:val="center"/>
              <w:rPr>
                <w:rFonts w:eastAsia="Times New Roman" w:cs="Arial"/>
                <w:szCs w:val="16"/>
              </w:rPr>
            </w:pPr>
            <w:r>
              <w:t>1</w:t>
            </w:r>
          </w:p>
        </w:tc>
      </w:tr>
      <w:tr w:rsidR="00CC21DE" w:rsidRPr="00210AC6" w14:paraId="6752A9E2" w14:textId="77777777" w:rsidTr="005032AF">
        <w:trPr>
          <w:trHeight w:val="440"/>
        </w:trPr>
        <w:tc>
          <w:tcPr>
            <w:tcW w:w="1866" w:type="dxa"/>
            <w:vAlign w:val="center"/>
            <w:hideMark/>
          </w:tcPr>
          <w:p w14:paraId="5B8E25FC" w14:textId="43BDFD13" w:rsidR="00CC21DE" w:rsidRPr="00CC21DE" w:rsidRDefault="00CC21DE" w:rsidP="00A47616">
            <w:pPr>
              <w:spacing w:before="0" w:after="0"/>
              <w:jc w:val="center"/>
              <w:rPr>
                <w:rFonts w:eastAsia="Times New Roman" w:cs="Arial"/>
                <w:b/>
                <w:bCs/>
                <w:szCs w:val="16"/>
              </w:rPr>
            </w:pPr>
            <w:r w:rsidRPr="00CC21DE">
              <w:rPr>
                <w:b/>
                <w:bCs/>
              </w:rPr>
              <w:t>9</w:t>
            </w:r>
          </w:p>
        </w:tc>
        <w:tc>
          <w:tcPr>
            <w:tcW w:w="5260" w:type="dxa"/>
            <w:vAlign w:val="center"/>
            <w:hideMark/>
          </w:tcPr>
          <w:p w14:paraId="77541D5E" w14:textId="1ED64135" w:rsidR="00CC21DE" w:rsidRPr="00210AC6" w:rsidRDefault="00CC21DE" w:rsidP="00A47616">
            <w:pPr>
              <w:spacing w:before="0" w:after="0"/>
              <w:jc w:val="center"/>
              <w:rPr>
                <w:rFonts w:eastAsia="Times New Roman" w:cs="Arial"/>
                <w:szCs w:val="16"/>
              </w:rPr>
            </w:pPr>
            <w:r>
              <w:t>N/A</w:t>
            </w:r>
          </w:p>
        </w:tc>
        <w:tc>
          <w:tcPr>
            <w:tcW w:w="2698" w:type="dxa"/>
            <w:vAlign w:val="center"/>
            <w:hideMark/>
          </w:tcPr>
          <w:p w14:paraId="70F7A3C5" w14:textId="487A1B59" w:rsidR="00CC21DE" w:rsidRPr="00210AC6" w:rsidRDefault="00CC21DE" w:rsidP="00A47616">
            <w:pPr>
              <w:spacing w:before="0" w:after="0"/>
              <w:jc w:val="center"/>
              <w:rPr>
                <w:rFonts w:eastAsia="Times New Roman" w:cs="Arial"/>
                <w:szCs w:val="16"/>
              </w:rPr>
            </w:pPr>
            <w:r>
              <w:t>0</w:t>
            </w:r>
          </w:p>
        </w:tc>
      </w:tr>
      <w:tr w:rsidR="00CC21DE" w:rsidRPr="00210AC6" w14:paraId="34EBFDBF" w14:textId="77777777" w:rsidTr="005032AF">
        <w:trPr>
          <w:trHeight w:val="440"/>
        </w:trPr>
        <w:tc>
          <w:tcPr>
            <w:tcW w:w="1866" w:type="dxa"/>
            <w:vAlign w:val="center"/>
            <w:hideMark/>
          </w:tcPr>
          <w:p w14:paraId="694C43E7" w14:textId="7D710058" w:rsidR="00CC21DE" w:rsidRPr="00CC21DE" w:rsidRDefault="00CC21DE" w:rsidP="00A47616">
            <w:pPr>
              <w:spacing w:before="0" w:after="0"/>
              <w:jc w:val="center"/>
              <w:rPr>
                <w:rFonts w:eastAsia="Times New Roman" w:cs="Arial"/>
                <w:b/>
                <w:bCs/>
                <w:szCs w:val="16"/>
              </w:rPr>
            </w:pPr>
            <w:r w:rsidRPr="00CC21DE">
              <w:rPr>
                <w:b/>
                <w:bCs/>
              </w:rPr>
              <w:t>10</w:t>
            </w:r>
          </w:p>
        </w:tc>
        <w:tc>
          <w:tcPr>
            <w:tcW w:w="5260" w:type="dxa"/>
            <w:vAlign w:val="center"/>
            <w:hideMark/>
          </w:tcPr>
          <w:p w14:paraId="2DD5D7F9" w14:textId="6897ADAD"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7FCB4A3D" w14:textId="0B793628" w:rsidR="00CC21DE" w:rsidRPr="00210AC6" w:rsidRDefault="00CC21DE" w:rsidP="00A47616">
            <w:pPr>
              <w:spacing w:before="0" w:after="0"/>
              <w:jc w:val="center"/>
              <w:rPr>
                <w:rFonts w:eastAsia="Times New Roman" w:cs="Arial"/>
                <w:szCs w:val="16"/>
              </w:rPr>
            </w:pPr>
            <w:r>
              <w:t>1</w:t>
            </w:r>
          </w:p>
        </w:tc>
      </w:tr>
      <w:tr w:rsidR="00CC21DE" w:rsidRPr="00210AC6" w14:paraId="03742C31" w14:textId="77777777" w:rsidTr="005032AF">
        <w:trPr>
          <w:trHeight w:val="440"/>
        </w:trPr>
        <w:tc>
          <w:tcPr>
            <w:tcW w:w="1866" w:type="dxa"/>
            <w:vAlign w:val="center"/>
            <w:hideMark/>
          </w:tcPr>
          <w:p w14:paraId="5C725E54" w14:textId="410E1E21" w:rsidR="00CC21DE" w:rsidRPr="00CC21DE" w:rsidRDefault="00CC21DE" w:rsidP="00A47616">
            <w:pPr>
              <w:spacing w:before="0" w:after="0"/>
              <w:jc w:val="center"/>
              <w:rPr>
                <w:rFonts w:eastAsia="Times New Roman" w:cs="Arial"/>
                <w:b/>
                <w:bCs/>
                <w:szCs w:val="16"/>
              </w:rPr>
            </w:pPr>
            <w:r w:rsidRPr="00CC21DE">
              <w:rPr>
                <w:b/>
                <w:bCs/>
              </w:rPr>
              <w:t>11</w:t>
            </w:r>
          </w:p>
        </w:tc>
        <w:tc>
          <w:tcPr>
            <w:tcW w:w="5260" w:type="dxa"/>
            <w:vAlign w:val="center"/>
            <w:hideMark/>
          </w:tcPr>
          <w:p w14:paraId="2A99A378" w14:textId="6A33E94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320FC19" w14:textId="02021ABF" w:rsidR="00CC21DE" w:rsidRPr="00210AC6" w:rsidRDefault="00CC21DE" w:rsidP="00A47616">
            <w:pPr>
              <w:spacing w:before="0" w:after="0"/>
              <w:jc w:val="center"/>
              <w:rPr>
                <w:rFonts w:eastAsia="Times New Roman" w:cs="Arial"/>
                <w:szCs w:val="16"/>
              </w:rPr>
            </w:pPr>
            <w:r>
              <w:t>1</w:t>
            </w:r>
          </w:p>
        </w:tc>
      </w:tr>
      <w:tr w:rsidR="000F5FCD" w:rsidRPr="00210AC6" w14:paraId="701002B7" w14:textId="77777777" w:rsidTr="005032AF">
        <w:trPr>
          <w:trHeight w:val="440"/>
        </w:trPr>
        <w:tc>
          <w:tcPr>
            <w:tcW w:w="1866" w:type="dxa"/>
            <w:vAlign w:val="center"/>
          </w:tcPr>
          <w:p w14:paraId="11DC9DDA" w14:textId="5ACB7D56" w:rsidR="000F5FCD" w:rsidRPr="00CC21DE" w:rsidRDefault="000F5FCD" w:rsidP="00A47616">
            <w:pPr>
              <w:spacing w:before="0" w:after="0"/>
              <w:jc w:val="center"/>
              <w:rPr>
                <w:b/>
                <w:bCs/>
              </w:rPr>
            </w:pPr>
            <w:r>
              <w:rPr>
                <w:b/>
                <w:bCs/>
              </w:rPr>
              <w:t>12</w:t>
            </w:r>
          </w:p>
        </w:tc>
        <w:tc>
          <w:tcPr>
            <w:tcW w:w="5260" w:type="dxa"/>
            <w:vAlign w:val="center"/>
          </w:tcPr>
          <w:p w14:paraId="57A063B3" w14:textId="4BD8263D" w:rsidR="000F5FCD" w:rsidRDefault="000F5FCD" w:rsidP="00A47616">
            <w:pPr>
              <w:spacing w:before="0" w:after="0"/>
              <w:jc w:val="center"/>
            </w:pPr>
            <w:r>
              <w:t>1</w:t>
            </w:r>
          </w:p>
        </w:tc>
        <w:tc>
          <w:tcPr>
            <w:tcW w:w="2698" w:type="dxa"/>
            <w:vAlign w:val="center"/>
          </w:tcPr>
          <w:p w14:paraId="3F1DAA03" w14:textId="42498793" w:rsidR="000F5FCD" w:rsidRDefault="000F5FCD" w:rsidP="00A47616">
            <w:pPr>
              <w:spacing w:before="0" w:after="0"/>
              <w:jc w:val="center"/>
            </w:pPr>
            <w:r>
              <w:t>1</w:t>
            </w:r>
          </w:p>
        </w:tc>
      </w:tr>
    </w:tbl>
    <w:p w14:paraId="4A115913" w14:textId="7D7F5D85" w:rsidR="00AA07A0" w:rsidRDefault="00AA07A0" w:rsidP="000135C2">
      <w:pPr>
        <w:rPr>
          <w:rFonts w:cs="Arial"/>
          <w:szCs w:val="16"/>
        </w:rPr>
      </w:pPr>
    </w:p>
    <w:p w14:paraId="798FD527" w14:textId="5EBC6C51" w:rsidR="009D31F8" w:rsidRDefault="009D31F8" w:rsidP="000135C2">
      <w:pPr>
        <w:rPr>
          <w:rFonts w:cs="Arial"/>
          <w:szCs w:val="16"/>
        </w:rPr>
      </w:pPr>
      <w:r w:rsidRPr="00210AC6">
        <w:rPr>
          <w:rFonts w:eastAsia="Times New Roman" w:cs="Arial"/>
          <w:b/>
          <w:bCs/>
          <w:szCs w:val="16"/>
        </w:rPr>
        <w:t>APR Score Calculation</w:t>
      </w:r>
    </w:p>
    <w:tbl>
      <w:tblPr>
        <w:tblStyle w:val="TableGrid1"/>
        <w:tblW w:w="9805" w:type="dxa"/>
        <w:tblLook w:val="04A0" w:firstRow="1" w:lastRow="0" w:firstColumn="1" w:lastColumn="0" w:noHBand="0" w:noVBand="1"/>
        <w:tblCaption w:val="CRUBCFFYAPRSCRCALC"/>
      </w:tblPr>
      <w:tblGrid>
        <w:gridCol w:w="7105"/>
        <w:gridCol w:w="2700"/>
      </w:tblGrid>
      <w:tr w:rsidR="009D31F8" w:rsidRPr="00210AC6" w14:paraId="4CB6C2A9" w14:textId="77777777" w:rsidTr="009D31F8">
        <w:trPr>
          <w:trHeight w:val="440"/>
        </w:trPr>
        <w:tc>
          <w:tcPr>
            <w:tcW w:w="7105" w:type="dxa"/>
            <w:vAlign w:val="center"/>
            <w:hideMark/>
          </w:tcPr>
          <w:p w14:paraId="3BBF0B93" w14:textId="77777777" w:rsidR="009D31F8" w:rsidRPr="00210AC6" w:rsidRDefault="009D31F8" w:rsidP="009D31F8">
            <w:pPr>
              <w:spacing w:before="0" w:after="0"/>
              <w:rPr>
                <w:rFonts w:eastAsia="Times New Roman" w:cs="Arial"/>
                <w:b/>
                <w:bCs/>
                <w:szCs w:val="16"/>
              </w:rPr>
            </w:pPr>
            <w:r>
              <w:rPr>
                <w:rFonts w:eastAsia="Times New Roman" w:cs="Arial"/>
                <w:b/>
                <w:bCs/>
                <w:szCs w:val="16"/>
              </w:rPr>
              <w:t>Subtotal</w:t>
            </w:r>
          </w:p>
        </w:tc>
        <w:tc>
          <w:tcPr>
            <w:tcW w:w="2700" w:type="dxa"/>
            <w:vAlign w:val="center"/>
            <w:hideMark/>
          </w:tcPr>
          <w:p w14:paraId="2B2BDC7F" w14:textId="77777777" w:rsidR="009D31F8" w:rsidRPr="00210AC6" w:rsidRDefault="009D31F8">
            <w:pPr>
              <w:spacing w:before="0" w:after="0"/>
              <w:jc w:val="center"/>
              <w:rPr>
                <w:rFonts w:eastAsia="Times New Roman" w:cs="Arial"/>
                <w:szCs w:val="16"/>
              </w:rPr>
            </w:pPr>
            <w:r>
              <w:t>13</w:t>
            </w:r>
          </w:p>
        </w:tc>
      </w:tr>
      <w:tr w:rsidR="009D31F8" w:rsidRPr="00210AC6" w14:paraId="11D30516" w14:textId="77777777" w:rsidTr="009D31F8">
        <w:trPr>
          <w:trHeight w:val="735"/>
        </w:trPr>
        <w:tc>
          <w:tcPr>
            <w:tcW w:w="7105" w:type="dxa"/>
            <w:vAlign w:val="center"/>
            <w:hideMark/>
          </w:tcPr>
          <w:p w14:paraId="0B6B62AD" w14:textId="7C88E298" w:rsidR="009D31F8" w:rsidRPr="00210AC6" w:rsidRDefault="009D31F8">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sidR="00C03D72">
              <w:rPr>
                <w:rFonts w:eastAsia="Times New Roman" w:cs="Arial"/>
                <w:szCs w:val="16"/>
              </w:rPr>
              <w:t>3</w:t>
            </w:r>
            <w:r w:rsidRPr="00210AC6">
              <w:rPr>
                <w:rFonts w:eastAsia="Times New Roman" w:cs="Arial"/>
                <w:szCs w:val="16"/>
              </w:rPr>
              <w:t xml:space="preserve"> APR was submitted on-time, place the number 5 in the cell on the right.</w:t>
            </w:r>
          </w:p>
        </w:tc>
        <w:tc>
          <w:tcPr>
            <w:tcW w:w="2700" w:type="dxa"/>
            <w:vAlign w:val="center"/>
            <w:hideMark/>
          </w:tcPr>
          <w:p w14:paraId="31B542DE" w14:textId="77777777" w:rsidR="009D31F8" w:rsidRPr="00210AC6" w:rsidRDefault="009D31F8">
            <w:pPr>
              <w:spacing w:before="0" w:after="0"/>
              <w:jc w:val="center"/>
              <w:rPr>
                <w:rFonts w:eastAsia="Times New Roman" w:cs="Arial"/>
                <w:szCs w:val="16"/>
              </w:rPr>
            </w:pPr>
            <w:r>
              <w:t>5</w:t>
            </w:r>
          </w:p>
        </w:tc>
      </w:tr>
      <w:tr w:rsidR="009D31F8" w:rsidRPr="00210AC6" w14:paraId="6DEBB32D" w14:textId="77777777" w:rsidTr="009D31F8">
        <w:trPr>
          <w:trHeight w:val="485"/>
        </w:trPr>
        <w:tc>
          <w:tcPr>
            <w:tcW w:w="7105" w:type="dxa"/>
            <w:vAlign w:val="center"/>
            <w:hideMark/>
          </w:tcPr>
          <w:p w14:paraId="52ACEE56" w14:textId="77777777" w:rsidR="009D31F8" w:rsidRPr="00210AC6" w:rsidRDefault="009D31F8">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700" w:type="dxa"/>
            <w:vAlign w:val="center"/>
            <w:hideMark/>
          </w:tcPr>
          <w:p w14:paraId="4F403986" w14:textId="77777777" w:rsidR="009D31F8" w:rsidRPr="00210AC6" w:rsidRDefault="009D31F8">
            <w:pPr>
              <w:spacing w:before="0" w:after="0"/>
              <w:jc w:val="center"/>
              <w:rPr>
                <w:rFonts w:eastAsia="Times New Roman" w:cs="Arial"/>
                <w:szCs w:val="16"/>
              </w:rPr>
            </w:pPr>
            <w:r>
              <w:t>18</w:t>
            </w:r>
          </w:p>
        </w:tc>
      </w:tr>
    </w:tbl>
    <w:p w14:paraId="78C39D50" w14:textId="77777777" w:rsidR="009D31F8" w:rsidRDefault="009D31F8" w:rsidP="000135C2">
      <w:pPr>
        <w:rPr>
          <w:rFonts w:cs="Arial"/>
          <w:szCs w:val="16"/>
        </w:rPr>
      </w:pPr>
    </w:p>
    <w:p w14:paraId="1A33A264" w14:textId="4BF363E4" w:rsidR="00AA07A0" w:rsidRPr="00D731C8" w:rsidRDefault="009D31F8" w:rsidP="00D731C8">
      <w:pPr>
        <w:rPr>
          <w:rFonts w:cs="Arial"/>
          <w:b/>
          <w:bCs/>
          <w:szCs w:val="16"/>
        </w:rPr>
      </w:pPr>
      <w:r w:rsidRPr="00D731C8">
        <w:rPr>
          <w:b/>
          <w:bCs/>
        </w:rPr>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r w:rsidR="00AA07A0" w:rsidRPr="00D731C8">
        <w:rPr>
          <w:rFonts w:cs="Arial"/>
          <w:b/>
          <w:bCs/>
          <w:szCs w:val="16"/>
        </w:rPr>
        <w:br w:type="page"/>
      </w:r>
    </w:p>
    <w:p w14:paraId="7B476875" w14:textId="56179E3E" w:rsidR="00F2466D" w:rsidRPr="009D31F8" w:rsidRDefault="009D31F8" w:rsidP="000135C2">
      <w:pPr>
        <w:rPr>
          <w:rFonts w:cs="Arial"/>
          <w:szCs w:val="16"/>
        </w:rPr>
      </w:pPr>
      <w:r w:rsidRPr="00210AC6">
        <w:rPr>
          <w:rFonts w:eastAsia="Times New Roman" w:cs="Arial"/>
          <w:b/>
          <w:bCs/>
          <w:szCs w:val="16"/>
        </w:rPr>
        <w:lastRenderedPageBreak/>
        <w:t>618 Data</w:t>
      </w:r>
      <w:r>
        <w:rPr>
          <w:rFonts w:eastAsia="Times New Roman" w:cs="Arial"/>
          <w:szCs w:val="16"/>
        </w:rPr>
        <w:t xml:space="preserve"> (2)</w:t>
      </w:r>
    </w:p>
    <w:tbl>
      <w:tblPr>
        <w:tblStyle w:val="TableGrid1"/>
        <w:tblW w:w="9841" w:type="dxa"/>
        <w:tblLayout w:type="fixed"/>
        <w:tblLook w:val="04A0" w:firstRow="1" w:lastRow="0" w:firstColumn="1" w:lastColumn="0" w:noHBand="0" w:noVBand="1"/>
        <w:tblCaption w:val="CRUBCFFYCOLLSTAT"/>
      </w:tblPr>
      <w:tblGrid>
        <w:gridCol w:w="1968"/>
        <w:gridCol w:w="1968"/>
        <w:gridCol w:w="1968"/>
        <w:gridCol w:w="1968"/>
        <w:gridCol w:w="1969"/>
      </w:tblGrid>
      <w:tr w:rsidR="000135C2" w:rsidRPr="00210AC6" w14:paraId="7DB9D813" w14:textId="77777777" w:rsidTr="005032AF">
        <w:trPr>
          <w:trHeight w:val="458"/>
        </w:trPr>
        <w:tc>
          <w:tcPr>
            <w:tcW w:w="1968" w:type="dxa"/>
            <w:vAlign w:val="center"/>
            <w:hideMark/>
          </w:tcPr>
          <w:p w14:paraId="044FBB2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14:paraId="01CB6332"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14:paraId="72A92617"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14:paraId="5E2731A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14:paraId="20A8907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Total</w:t>
            </w:r>
          </w:p>
        </w:tc>
      </w:tr>
      <w:tr w:rsidR="008558B7" w:rsidRPr="00210AC6" w14:paraId="6B304846" w14:textId="77777777" w:rsidTr="005032AF">
        <w:trPr>
          <w:trHeight w:val="828"/>
        </w:trPr>
        <w:tc>
          <w:tcPr>
            <w:tcW w:w="1968" w:type="dxa"/>
            <w:vAlign w:val="center"/>
            <w:hideMark/>
          </w:tcPr>
          <w:p w14:paraId="5DA3445E" w14:textId="026CC723" w:rsidR="008558B7" w:rsidRPr="00210AC6" w:rsidRDefault="008558B7" w:rsidP="008558B7">
            <w:pPr>
              <w:spacing w:before="0" w:after="0"/>
              <w:jc w:val="center"/>
              <w:rPr>
                <w:rFonts w:eastAsia="Times New Roman" w:cs="Arial"/>
                <w:b/>
                <w:bCs/>
                <w:szCs w:val="16"/>
              </w:rPr>
            </w:pPr>
            <w:r>
              <w:rPr>
                <w:rFonts w:cs="Arial"/>
                <w:b/>
                <w:bCs/>
              </w:rPr>
              <w:t xml:space="preserve"> Child Count/Settings Due Date: 7/31/24</w:t>
            </w:r>
          </w:p>
        </w:tc>
        <w:tc>
          <w:tcPr>
            <w:tcW w:w="1968" w:type="dxa"/>
            <w:vAlign w:val="center"/>
            <w:hideMark/>
          </w:tcPr>
          <w:p w14:paraId="5B82A08A" w14:textId="3E25A48E"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3D55B888" w14:textId="764AA7F4"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1C95108D" w14:textId="6A7A2D0D"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1DA8AE37" w14:textId="0784CDF8" w:rsidR="008558B7" w:rsidRPr="00210AC6" w:rsidRDefault="008558B7" w:rsidP="008558B7">
            <w:pPr>
              <w:spacing w:before="0" w:after="0"/>
              <w:jc w:val="center"/>
              <w:rPr>
                <w:rFonts w:eastAsia="Times New Roman" w:cs="Arial"/>
                <w:b/>
                <w:bCs/>
                <w:szCs w:val="16"/>
              </w:rPr>
            </w:pPr>
            <w:r>
              <w:t>3</w:t>
            </w:r>
          </w:p>
        </w:tc>
      </w:tr>
      <w:tr w:rsidR="008558B7" w:rsidRPr="00210AC6" w14:paraId="716C8A41" w14:textId="77777777" w:rsidTr="005032AF">
        <w:trPr>
          <w:trHeight w:val="828"/>
        </w:trPr>
        <w:tc>
          <w:tcPr>
            <w:tcW w:w="1968" w:type="dxa"/>
            <w:vAlign w:val="center"/>
            <w:hideMark/>
          </w:tcPr>
          <w:p w14:paraId="36518C88" w14:textId="34C10B27" w:rsidR="008558B7" w:rsidRPr="00210AC6" w:rsidRDefault="008558B7" w:rsidP="008558B7">
            <w:pPr>
              <w:spacing w:before="0" w:after="0"/>
              <w:jc w:val="center"/>
              <w:rPr>
                <w:rFonts w:eastAsia="Times New Roman" w:cs="Arial"/>
                <w:b/>
                <w:bCs/>
                <w:szCs w:val="16"/>
              </w:rPr>
            </w:pPr>
            <w:r>
              <w:rPr>
                <w:rFonts w:cs="Arial"/>
                <w:b/>
                <w:bCs/>
              </w:rPr>
              <w:t xml:space="preserve">Exiting Due Date: </w:t>
            </w:r>
            <w:r w:rsidR="004421DE">
              <w:rPr>
                <w:rFonts w:cs="Arial"/>
                <w:b/>
                <w:bCs/>
              </w:rPr>
              <w:t>3</w:t>
            </w:r>
            <w:r>
              <w:rPr>
                <w:rFonts w:cs="Arial"/>
                <w:b/>
                <w:bCs/>
              </w:rPr>
              <w:t>/</w:t>
            </w:r>
            <w:r w:rsidR="004421DE">
              <w:rPr>
                <w:rFonts w:cs="Arial"/>
                <w:b/>
                <w:bCs/>
              </w:rPr>
              <w:t>5</w:t>
            </w:r>
            <w:r>
              <w:rPr>
                <w:rFonts w:cs="Arial"/>
                <w:b/>
                <w:bCs/>
              </w:rPr>
              <w:t>/25</w:t>
            </w:r>
          </w:p>
        </w:tc>
        <w:tc>
          <w:tcPr>
            <w:tcW w:w="1968" w:type="dxa"/>
            <w:vAlign w:val="center"/>
            <w:hideMark/>
          </w:tcPr>
          <w:p w14:paraId="718914D8" w14:textId="02A5EED7"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32F1A1B3" w14:textId="4D9C140F"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7AD513FC" w14:textId="4590BAEC"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5B6CA115" w14:textId="47FC989A" w:rsidR="008558B7" w:rsidRPr="00210AC6" w:rsidRDefault="008558B7" w:rsidP="008558B7">
            <w:pPr>
              <w:spacing w:before="0" w:after="0"/>
              <w:jc w:val="center"/>
              <w:rPr>
                <w:rFonts w:eastAsia="Times New Roman" w:cs="Arial"/>
                <w:b/>
                <w:bCs/>
                <w:szCs w:val="16"/>
              </w:rPr>
            </w:pPr>
            <w:r>
              <w:t>3</w:t>
            </w:r>
          </w:p>
        </w:tc>
      </w:tr>
      <w:tr w:rsidR="008558B7" w:rsidRPr="00210AC6" w14:paraId="24A33538" w14:textId="77777777" w:rsidTr="005032AF">
        <w:trPr>
          <w:trHeight w:val="828"/>
        </w:trPr>
        <w:tc>
          <w:tcPr>
            <w:tcW w:w="1968" w:type="dxa"/>
            <w:vAlign w:val="center"/>
            <w:hideMark/>
          </w:tcPr>
          <w:p w14:paraId="6C00C178" w14:textId="1EDF0083" w:rsidR="008558B7" w:rsidRPr="00210AC6" w:rsidRDefault="008558B7" w:rsidP="008558B7">
            <w:pPr>
              <w:spacing w:before="0" w:after="0"/>
              <w:jc w:val="center"/>
              <w:rPr>
                <w:rFonts w:eastAsia="Times New Roman" w:cs="Arial"/>
                <w:b/>
                <w:bCs/>
                <w:szCs w:val="16"/>
              </w:rPr>
            </w:pPr>
            <w:r>
              <w:rPr>
                <w:rFonts w:cs="Arial"/>
                <w:b/>
                <w:bCs/>
              </w:rPr>
              <w:t>Dispute Resolution Due Date: 11/13/24</w:t>
            </w:r>
          </w:p>
        </w:tc>
        <w:tc>
          <w:tcPr>
            <w:tcW w:w="1968" w:type="dxa"/>
            <w:vAlign w:val="center"/>
            <w:hideMark/>
          </w:tcPr>
          <w:p w14:paraId="740AFB1F" w14:textId="62DE9166"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6450CF11" w14:textId="44E6B758"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0B24B44B" w14:textId="462122ED"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1A25510E" w14:textId="334DE016" w:rsidR="008558B7" w:rsidRPr="00210AC6" w:rsidRDefault="008558B7" w:rsidP="008558B7">
            <w:pPr>
              <w:spacing w:before="0" w:after="0"/>
              <w:jc w:val="center"/>
              <w:rPr>
                <w:rFonts w:eastAsia="Times New Roman" w:cs="Arial"/>
                <w:b/>
                <w:bCs/>
                <w:szCs w:val="16"/>
              </w:rPr>
            </w:pPr>
            <w:r>
              <w:t>3</w:t>
            </w:r>
          </w:p>
        </w:tc>
      </w:tr>
    </w:tbl>
    <w:p w14:paraId="3067138D" w14:textId="77777777" w:rsidR="000135C2" w:rsidRDefault="000135C2" w:rsidP="000135C2">
      <w:pPr>
        <w:rPr>
          <w:rFonts w:cs="Arial"/>
          <w:color w:val="000000" w:themeColor="text1"/>
          <w:szCs w:val="16"/>
        </w:rPr>
      </w:pPr>
    </w:p>
    <w:p w14:paraId="5B89FD5E" w14:textId="2B441D74" w:rsidR="009D31F8" w:rsidRDefault="009D31F8" w:rsidP="000135C2">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CRUBCFFYCOLLSCRCALC"/>
      </w:tblPr>
      <w:tblGrid>
        <w:gridCol w:w="7859"/>
        <w:gridCol w:w="1982"/>
      </w:tblGrid>
      <w:tr w:rsidR="009D31F8" w:rsidRPr="00210AC6" w14:paraId="5D584897" w14:textId="77777777" w:rsidTr="009D31F8">
        <w:trPr>
          <w:trHeight w:val="557"/>
        </w:trPr>
        <w:tc>
          <w:tcPr>
            <w:tcW w:w="7825" w:type="dxa"/>
            <w:vAlign w:val="center"/>
            <w:hideMark/>
          </w:tcPr>
          <w:p w14:paraId="1D64CC0F" w14:textId="77777777" w:rsidR="009D31F8" w:rsidRPr="00210AC6" w:rsidRDefault="009D31F8" w:rsidP="009D31F8">
            <w:pPr>
              <w:spacing w:before="0" w:after="0"/>
              <w:rPr>
                <w:rFonts w:eastAsia="Times New Roman" w:cs="Arial"/>
                <w:b/>
                <w:bCs/>
                <w:szCs w:val="16"/>
              </w:rPr>
            </w:pPr>
            <w:r w:rsidRPr="00210AC6">
              <w:rPr>
                <w:rFonts w:eastAsia="Times New Roman" w:cs="Arial"/>
                <w:b/>
                <w:bCs/>
                <w:szCs w:val="16"/>
              </w:rPr>
              <w:t>Subtotal</w:t>
            </w:r>
          </w:p>
        </w:tc>
        <w:tc>
          <w:tcPr>
            <w:tcW w:w="1973" w:type="dxa"/>
            <w:noWrap/>
            <w:vAlign w:val="center"/>
            <w:hideMark/>
          </w:tcPr>
          <w:p w14:paraId="3EF5234E" w14:textId="77777777" w:rsidR="009D31F8" w:rsidRPr="00210AC6" w:rsidRDefault="009D31F8">
            <w:pPr>
              <w:spacing w:before="0" w:after="0"/>
              <w:jc w:val="center"/>
              <w:rPr>
                <w:rFonts w:eastAsia="Times New Roman" w:cs="Arial"/>
                <w:szCs w:val="16"/>
              </w:rPr>
            </w:pPr>
            <w:r>
              <w:t>9</w:t>
            </w:r>
          </w:p>
        </w:tc>
      </w:tr>
      <w:tr w:rsidR="009D31F8" w:rsidRPr="00210AC6" w14:paraId="366BAD8E" w14:textId="77777777" w:rsidTr="009D31F8">
        <w:trPr>
          <w:trHeight w:val="530"/>
        </w:trPr>
        <w:tc>
          <w:tcPr>
            <w:tcW w:w="7825" w:type="dxa"/>
            <w:vAlign w:val="center"/>
            <w:hideMark/>
          </w:tcPr>
          <w:p w14:paraId="1EE5C038" w14:textId="06CEDDD0" w:rsidR="009D31F8" w:rsidRPr="00210AC6" w:rsidRDefault="009D31F8" w:rsidP="009D31F8">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 xml:space="preserve">(Subtotal X </w:t>
            </w:r>
            <w:r>
              <w:rPr>
                <w:rFonts w:eastAsia="Times New Roman" w:cs="Arial"/>
                <w:szCs w:val="16"/>
              </w:rPr>
              <w:t>2</w:t>
            </w:r>
            <w:r w:rsidR="00FA4462">
              <w:rPr>
                <w:rFonts w:eastAsia="Times New Roman" w:cs="Arial"/>
                <w:szCs w:val="16"/>
              </w:rPr>
              <w:t>.11111111</w:t>
            </w:r>
            <w:r w:rsidRPr="00210AC6">
              <w:rPr>
                <w:rFonts w:eastAsia="Times New Roman" w:cs="Arial"/>
                <w:szCs w:val="16"/>
              </w:rPr>
              <w:t>) =</w:t>
            </w:r>
          </w:p>
        </w:tc>
        <w:tc>
          <w:tcPr>
            <w:tcW w:w="1973" w:type="dxa"/>
            <w:noWrap/>
            <w:vAlign w:val="center"/>
            <w:hideMark/>
          </w:tcPr>
          <w:p w14:paraId="6F0BE561" w14:textId="77777777" w:rsidR="009D31F8" w:rsidRPr="00210AC6" w:rsidRDefault="009D31F8">
            <w:pPr>
              <w:spacing w:before="0" w:after="0"/>
              <w:jc w:val="center"/>
              <w:rPr>
                <w:rFonts w:eastAsia="Times New Roman" w:cs="Arial"/>
                <w:szCs w:val="16"/>
              </w:rPr>
            </w:pPr>
            <w:r>
              <w:t>19.00</w:t>
            </w:r>
          </w:p>
        </w:tc>
      </w:tr>
    </w:tbl>
    <w:p w14:paraId="543038A0" w14:textId="77777777" w:rsidR="009D31F8" w:rsidRPr="00210AC6" w:rsidRDefault="009D31F8" w:rsidP="000135C2">
      <w:pPr>
        <w:rPr>
          <w:rFonts w:cs="Arial"/>
          <w:color w:val="000000" w:themeColor="text1"/>
          <w:szCs w:val="16"/>
        </w:rPr>
      </w:pPr>
    </w:p>
    <w:p w14:paraId="7D65D7B8" w14:textId="4FABBE44" w:rsidR="000135C2" w:rsidRPr="00210AC6" w:rsidRDefault="009D31F8" w:rsidP="000135C2">
      <w:pPr>
        <w:rPr>
          <w:rFonts w:cs="Arial"/>
          <w:color w:val="000000" w:themeColor="text1"/>
          <w:szCs w:val="16"/>
        </w:rPr>
      </w:pPr>
      <w:r w:rsidRPr="00210AC6">
        <w:rPr>
          <w:rFonts w:eastAsia="Times New Roman" w:cs="Arial"/>
          <w:b/>
          <w:bCs/>
          <w:szCs w:val="16"/>
        </w:rPr>
        <w:t>Indicator Calculation</w:t>
      </w:r>
    </w:p>
    <w:tbl>
      <w:tblPr>
        <w:tblStyle w:val="TableGrid1"/>
        <w:tblW w:w="9839" w:type="dxa"/>
        <w:tblLook w:val="04A0" w:firstRow="1" w:lastRow="0" w:firstColumn="1" w:lastColumn="0" w:noHBand="0" w:noVBand="1"/>
        <w:tblCaption w:val="CRUBCFFYINDCALC"/>
      </w:tblPr>
      <w:tblGrid>
        <w:gridCol w:w="5665"/>
        <w:gridCol w:w="4174"/>
      </w:tblGrid>
      <w:tr w:rsidR="004A2E39" w:rsidRPr="00210AC6" w14:paraId="0B93867F" w14:textId="77777777" w:rsidTr="005032AF">
        <w:trPr>
          <w:trHeight w:val="432"/>
        </w:trPr>
        <w:tc>
          <w:tcPr>
            <w:tcW w:w="5665" w:type="dxa"/>
            <w:vAlign w:val="center"/>
            <w:hideMark/>
          </w:tcPr>
          <w:p w14:paraId="35C234D7" w14:textId="77777777" w:rsidR="004A2E39" w:rsidRPr="00210AC6" w:rsidRDefault="004A2E39" w:rsidP="004A2E39">
            <w:pPr>
              <w:spacing w:before="0" w:after="0"/>
              <w:rPr>
                <w:rFonts w:eastAsia="Times New Roman" w:cs="Arial"/>
                <w:szCs w:val="16"/>
              </w:rPr>
            </w:pPr>
            <w:r w:rsidRPr="00210AC6">
              <w:rPr>
                <w:rFonts w:eastAsia="Times New Roman" w:cs="Arial"/>
                <w:szCs w:val="16"/>
              </w:rPr>
              <w:t>A. APR Grand Total</w:t>
            </w:r>
          </w:p>
        </w:tc>
        <w:tc>
          <w:tcPr>
            <w:tcW w:w="4174" w:type="dxa"/>
            <w:vAlign w:val="center"/>
            <w:hideMark/>
          </w:tcPr>
          <w:p w14:paraId="7671ECBA" w14:textId="73210BF7" w:rsidR="004A2E39" w:rsidRPr="00210AC6" w:rsidRDefault="004A2E39" w:rsidP="005032AF">
            <w:pPr>
              <w:spacing w:before="0" w:after="0"/>
              <w:jc w:val="center"/>
              <w:rPr>
                <w:rFonts w:eastAsia="Times New Roman" w:cs="Arial"/>
                <w:szCs w:val="16"/>
              </w:rPr>
            </w:pPr>
            <w:r>
              <w:t>18</w:t>
            </w:r>
          </w:p>
        </w:tc>
      </w:tr>
      <w:tr w:rsidR="004A2E39" w:rsidRPr="00210AC6" w14:paraId="539166C5" w14:textId="77777777" w:rsidTr="005032AF">
        <w:trPr>
          <w:trHeight w:val="432"/>
        </w:trPr>
        <w:tc>
          <w:tcPr>
            <w:tcW w:w="5665" w:type="dxa"/>
            <w:vAlign w:val="center"/>
            <w:hideMark/>
          </w:tcPr>
          <w:p w14:paraId="359B7168" w14:textId="77777777" w:rsidR="004A2E39" w:rsidRPr="00210AC6" w:rsidRDefault="004A2E39" w:rsidP="004A2E39">
            <w:pPr>
              <w:spacing w:before="0" w:after="0"/>
              <w:rPr>
                <w:rFonts w:eastAsia="Times New Roman" w:cs="Arial"/>
                <w:szCs w:val="16"/>
              </w:rPr>
            </w:pPr>
            <w:r w:rsidRPr="00210AC6">
              <w:rPr>
                <w:rFonts w:eastAsia="Times New Roman" w:cs="Arial"/>
                <w:szCs w:val="16"/>
              </w:rPr>
              <w:t>B. 618 Grand Total</w:t>
            </w:r>
          </w:p>
        </w:tc>
        <w:tc>
          <w:tcPr>
            <w:tcW w:w="4174" w:type="dxa"/>
            <w:vAlign w:val="center"/>
            <w:hideMark/>
          </w:tcPr>
          <w:p w14:paraId="275A7042" w14:textId="2B5E9662" w:rsidR="004A2E39" w:rsidRPr="00210AC6" w:rsidRDefault="004A2E39" w:rsidP="005032AF">
            <w:pPr>
              <w:spacing w:before="0" w:after="0"/>
              <w:jc w:val="center"/>
              <w:rPr>
                <w:rFonts w:eastAsia="Times New Roman" w:cs="Arial"/>
                <w:szCs w:val="16"/>
              </w:rPr>
            </w:pPr>
            <w:r>
              <w:t>19.00</w:t>
            </w:r>
          </w:p>
        </w:tc>
      </w:tr>
      <w:tr w:rsidR="004A2E39" w:rsidRPr="00210AC6" w14:paraId="2F0D35A0" w14:textId="77777777" w:rsidTr="005032AF">
        <w:trPr>
          <w:trHeight w:val="432"/>
        </w:trPr>
        <w:tc>
          <w:tcPr>
            <w:tcW w:w="5665" w:type="dxa"/>
            <w:vAlign w:val="center"/>
            <w:hideMark/>
          </w:tcPr>
          <w:p w14:paraId="0C2088C2" w14:textId="77777777" w:rsidR="004A2E39" w:rsidRPr="00210AC6" w:rsidRDefault="004A2E39" w:rsidP="004A2E39">
            <w:pPr>
              <w:spacing w:before="0" w:after="0"/>
              <w:rPr>
                <w:rFonts w:eastAsia="Times New Roman" w:cs="Arial"/>
                <w:szCs w:val="16"/>
              </w:rPr>
            </w:pPr>
            <w:r w:rsidRPr="00210AC6">
              <w:rPr>
                <w:rFonts w:eastAsia="Times New Roman" w:cs="Arial"/>
                <w:szCs w:val="16"/>
              </w:rPr>
              <w:t>C. APR Grand Total (A) + 618 Grand Total (B) =</w:t>
            </w:r>
          </w:p>
        </w:tc>
        <w:tc>
          <w:tcPr>
            <w:tcW w:w="4174" w:type="dxa"/>
            <w:vAlign w:val="center"/>
            <w:hideMark/>
          </w:tcPr>
          <w:p w14:paraId="572B3140" w14:textId="766A218C" w:rsidR="004A2E39" w:rsidRPr="00210AC6" w:rsidRDefault="004A2E39" w:rsidP="005032AF">
            <w:pPr>
              <w:spacing w:before="0" w:after="0"/>
              <w:jc w:val="center"/>
              <w:rPr>
                <w:rFonts w:eastAsia="Times New Roman" w:cs="Arial"/>
                <w:szCs w:val="16"/>
              </w:rPr>
            </w:pPr>
            <w:r>
              <w:t>37.00</w:t>
            </w:r>
          </w:p>
        </w:tc>
      </w:tr>
      <w:tr w:rsidR="004A2E39" w:rsidRPr="00210AC6" w14:paraId="66370322" w14:textId="77777777" w:rsidTr="005032AF">
        <w:trPr>
          <w:trHeight w:val="432"/>
        </w:trPr>
        <w:tc>
          <w:tcPr>
            <w:tcW w:w="5665" w:type="dxa"/>
            <w:vAlign w:val="center"/>
            <w:hideMark/>
          </w:tcPr>
          <w:p w14:paraId="28CEF8A5" w14:textId="292AFFF7" w:rsidR="004A2E39" w:rsidRPr="00210AC6" w:rsidRDefault="004A2E39" w:rsidP="004A2E39">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4174" w:type="dxa"/>
            <w:vAlign w:val="center"/>
            <w:hideMark/>
          </w:tcPr>
          <w:p w14:paraId="27258A4A" w14:textId="0023BF2F" w:rsidR="004A2E39" w:rsidRPr="00210AC6" w:rsidRDefault="004A2E39" w:rsidP="005032AF">
            <w:pPr>
              <w:spacing w:before="0" w:after="0"/>
              <w:jc w:val="center"/>
              <w:rPr>
                <w:rFonts w:eastAsia="Times New Roman" w:cs="Arial"/>
                <w:szCs w:val="16"/>
              </w:rPr>
            </w:pPr>
            <w:r>
              <w:t>1</w:t>
            </w:r>
          </w:p>
        </w:tc>
      </w:tr>
      <w:tr w:rsidR="004A2E39" w:rsidRPr="00210AC6" w14:paraId="485AF70A" w14:textId="77777777" w:rsidTr="005032AF">
        <w:trPr>
          <w:trHeight w:val="432"/>
        </w:trPr>
        <w:tc>
          <w:tcPr>
            <w:tcW w:w="5665" w:type="dxa"/>
            <w:vAlign w:val="center"/>
            <w:hideMark/>
          </w:tcPr>
          <w:p w14:paraId="67802FC7" w14:textId="71AA6D63" w:rsidR="004A2E39" w:rsidRPr="00210AC6" w:rsidRDefault="004A2E39" w:rsidP="004A2E39">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4174" w:type="dxa"/>
            <w:vAlign w:val="center"/>
            <w:hideMark/>
          </w:tcPr>
          <w:p w14:paraId="3BB5CBDF" w14:textId="56484DCA" w:rsidR="004A2E39" w:rsidRPr="00210AC6" w:rsidRDefault="004A2E39" w:rsidP="005032AF">
            <w:pPr>
              <w:spacing w:before="0" w:after="0"/>
              <w:jc w:val="center"/>
              <w:rPr>
                <w:rFonts w:eastAsia="Times New Roman" w:cs="Arial"/>
                <w:szCs w:val="16"/>
              </w:rPr>
            </w:pPr>
            <w:r>
              <w:t>0.00</w:t>
            </w:r>
          </w:p>
        </w:tc>
      </w:tr>
      <w:tr w:rsidR="004A2E39" w:rsidRPr="00210AC6" w14:paraId="0BAB0C30" w14:textId="77777777" w:rsidTr="005032AF">
        <w:trPr>
          <w:trHeight w:val="432"/>
        </w:trPr>
        <w:tc>
          <w:tcPr>
            <w:tcW w:w="5665" w:type="dxa"/>
            <w:vAlign w:val="center"/>
            <w:hideMark/>
          </w:tcPr>
          <w:p w14:paraId="64C409FB" w14:textId="5C2CBD4A" w:rsidR="004A2E39" w:rsidRPr="00210AC6" w:rsidRDefault="003445A2" w:rsidP="004A2E39">
            <w:pPr>
              <w:spacing w:before="0" w:after="0"/>
              <w:jc w:val="right"/>
              <w:rPr>
                <w:rFonts w:eastAsia="Times New Roman" w:cs="Arial"/>
                <w:b/>
                <w:bCs/>
                <w:szCs w:val="16"/>
              </w:rPr>
            </w:pPr>
            <w:r>
              <w:rPr>
                <w:rFonts w:eastAsia="Times New Roman" w:cs="Arial"/>
                <w:b/>
                <w:bCs/>
                <w:szCs w:val="16"/>
              </w:rPr>
              <w:t>Denominator</w:t>
            </w:r>
          </w:p>
        </w:tc>
        <w:tc>
          <w:tcPr>
            <w:tcW w:w="4174" w:type="dxa"/>
            <w:vAlign w:val="center"/>
            <w:hideMark/>
          </w:tcPr>
          <w:p w14:paraId="4FBFC9BC" w14:textId="04015575" w:rsidR="004A2E39" w:rsidRPr="00210AC6" w:rsidRDefault="004A2E39" w:rsidP="005032AF">
            <w:pPr>
              <w:spacing w:before="0" w:after="0"/>
              <w:jc w:val="center"/>
              <w:rPr>
                <w:rFonts w:eastAsia="Times New Roman" w:cs="Arial"/>
                <w:szCs w:val="16"/>
              </w:rPr>
            </w:pPr>
            <w:r>
              <w:t>37.00</w:t>
            </w:r>
          </w:p>
        </w:tc>
      </w:tr>
      <w:tr w:rsidR="004A2E39" w:rsidRPr="00210AC6" w14:paraId="313D2E20" w14:textId="77777777" w:rsidTr="005032AF">
        <w:trPr>
          <w:trHeight w:val="432"/>
        </w:trPr>
        <w:tc>
          <w:tcPr>
            <w:tcW w:w="5665" w:type="dxa"/>
            <w:vAlign w:val="center"/>
            <w:hideMark/>
          </w:tcPr>
          <w:p w14:paraId="3BFF4D94" w14:textId="3D3D7F14" w:rsidR="004A2E39" w:rsidRPr="00210AC6" w:rsidRDefault="004A2E39" w:rsidP="004A2E39">
            <w:pPr>
              <w:spacing w:before="0" w:after="0"/>
              <w:rPr>
                <w:rFonts w:eastAsia="Times New Roman" w:cs="Arial"/>
                <w:szCs w:val="16"/>
              </w:rPr>
            </w:pPr>
            <w:r w:rsidRPr="00210AC6">
              <w:rPr>
                <w:rFonts w:eastAsia="Times New Roman" w:cs="Arial"/>
                <w:szCs w:val="16"/>
              </w:rPr>
              <w:t>D. Subtotal (C divided by Denominator) (3) =</w:t>
            </w:r>
          </w:p>
        </w:tc>
        <w:tc>
          <w:tcPr>
            <w:tcW w:w="4174" w:type="dxa"/>
            <w:vAlign w:val="center"/>
            <w:hideMark/>
          </w:tcPr>
          <w:p w14:paraId="4C4FECD3" w14:textId="6A98D3C6" w:rsidR="004A2E39" w:rsidRPr="00210AC6" w:rsidRDefault="004A2E39" w:rsidP="005032AF">
            <w:pPr>
              <w:spacing w:before="0" w:after="0"/>
              <w:jc w:val="center"/>
              <w:rPr>
                <w:rFonts w:eastAsia="Times New Roman" w:cs="Arial"/>
                <w:szCs w:val="16"/>
              </w:rPr>
            </w:pPr>
            <w:r>
              <w:t>1.0000</w:t>
            </w:r>
          </w:p>
        </w:tc>
      </w:tr>
      <w:tr w:rsidR="004A2E39" w:rsidRPr="00210AC6" w14:paraId="30E510D4" w14:textId="77777777" w:rsidTr="005032AF">
        <w:trPr>
          <w:trHeight w:val="432"/>
        </w:trPr>
        <w:tc>
          <w:tcPr>
            <w:tcW w:w="5665" w:type="dxa"/>
            <w:vAlign w:val="center"/>
            <w:hideMark/>
          </w:tcPr>
          <w:p w14:paraId="131F4271" w14:textId="77777777" w:rsidR="004A2E39" w:rsidRPr="00210AC6" w:rsidRDefault="004A2E39" w:rsidP="004A2E39">
            <w:pPr>
              <w:spacing w:before="0" w:after="0"/>
              <w:rPr>
                <w:rFonts w:eastAsia="Times New Roman" w:cs="Arial"/>
                <w:szCs w:val="16"/>
              </w:rPr>
            </w:pPr>
            <w:r w:rsidRPr="00210AC6">
              <w:rPr>
                <w:rFonts w:eastAsia="Times New Roman" w:cs="Arial"/>
                <w:szCs w:val="16"/>
              </w:rPr>
              <w:t>E. Indicator Score (Subtotal D x 100) =</w:t>
            </w:r>
          </w:p>
        </w:tc>
        <w:tc>
          <w:tcPr>
            <w:tcW w:w="4174" w:type="dxa"/>
            <w:vAlign w:val="center"/>
            <w:hideMark/>
          </w:tcPr>
          <w:p w14:paraId="3144A119" w14:textId="2E9A2561" w:rsidR="004A2E39" w:rsidRPr="00210AC6" w:rsidRDefault="004A2E39" w:rsidP="005032AF">
            <w:pPr>
              <w:spacing w:before="0" w:after="0"/>
              <w:jc w:val="center"/>
              <w:rPr>
                <w:rFonts w:eastAsia="Times New Roman" w:cs="Arial"/>
                <w:szCs w:val="16"/>
              </w:rPr>
            </w:pPr>
            <w:r>
              <w:t>100.00</w:t>
            </w:r>
          </w:p>
        </w:tc>
      </w:tr>
    </w:tbl>
    <w:p w14:paraId="4A88E261" w14:textId="77777777" w:rsidR="001A0793" w:rsidRDefault="001A0793" w:rsidP="000135C2">
      <w:pPr>
        <w:rPr>
          <w:rFonts w:eastAsia="Times New Roman" w:cs="Arial"/>
          <w:b/>
          <w:bCs/>
          <w:szCs w:val="16"/>
        </w:rPr>
      </w:pPr>
    </w:p>
    <w:p w14:paraId="45446BD1" w14:textId="6C235D15" w:rsidR="009D31F8" w:rsidRPr="00D731C8" w:rsidRDefault="009D31F8" w:rsidP="009D31F8">
      <w:pPr>
        <w:spacing w:after="120"/>
        <w:rPr>
          <w:b/>
          <w:bCs/>
        </w:rPr>
      </w:pPr>
      <w:r w:rsidRPr="00D731C8">
        <w:rPr>
          <w:b/>
          <w:bCs/>
        </w:rPr>
        <w:t>(2) In the 618 Data table, when calculating the value in the Total column, any N/As in the Timely, Complete Data, or Passed Edit Checks columns are treated as a ‘0’. An N/A does not negatively affect a State's score; this is because 2.11111111 points are subtracted from the Denominator in the Indicator Calculation table for each cell marked as N/A in the 618 Data table.</w:t>
      </w:r>
    </w:p>
    <w:p w14:paraId="4D089C92" w14:textId="17E74999" w:rsidR="00FD2AA0" w:rsidRDefault="009D31F8" w:rsidP="00DC6D97">
      <w:pPr>
        <w:rPr>
          <w:b/>
          <w:bCs/>
        </w:rPr>
      </w:pPr>
      <w:r w:rsidRPr="00D731C8">
        <w:rPr>
          <w:b/>
          <w:bCs/>
        </w:rPr>
        <w:t>(3) Note that any cell marked as N/A in the APR Data Table will decrease the denominator by 1, and any cell marked as N/A in the 618 Data Table will decrease the denominator by 2.11111111.</w:t>
      </w:r>
    </w:p>
    <w:p w14:paraId="5992F4B1" w14:textId="77777777" w:rsidR="00FD2AA0" w:rsidRDefault="00FD2AA0" w:rsidP="00DC6D97">
      <w:pPr>
        <w:rPr>
          <w:b/>
          <w:bCs/>
        </w:rPr>
      </w:pPr>
    </w:p>
    <w:p w14:paraId="7483F12B" w14:textId="77777777" w:rsidR="00FD2AA0" w:rsidRDefault="00FD2AA0" w:rsidP="00DC6D97">
      <w:pPr>
        <w:rPr>
          <w:b/>
          <w:bCs/>
        </w:rPr>
      </w:pPr>
    </w:p>
    <w:p w14:paraId="038DFFCF" w14:textId="77777777" w:rsidR="00FD2AA0" w:rsidRPr="00DC6D97" w:rsidRDefault="00FD2AA0" w:rsidP="00DC6D97">
      <w:pPr>
        <w:rPr>
          <w:b/>
          <w:bCs/>
        </w:rPr>
      </w:pPr>
    </w:p>
    <w:p w14:paraId="64D1AEC4" w14:textId="5B2A7F86" w:rsidR="00DC6D97" w:rsidRDefault="00DC6D97" w:rsidP="00DC6D97"/>
    <w:p w14:paraId="086B2E38" w14:textId="12D8DB76" w:rsidR="00DC6D97" w:rsidRDefault="00DC6D97" w:rsidP="00DC6D97"/>
    <w:p w14:paraId="2467EB6D" w14:textId="77777777" w:rsidR="00DC6D97" w:rsidRPr="00DC6D97" w:rsidRDefault="00DC6D97" w:rsidP="00DC6D97"/>
    <w:p w14:paraId="6752827D" w14:textId="2B0103CA" w:rsidR="00A241E8" w:rsidRDefault="00A241E8">
      <w:pPr>
        <w:spacing w:before="0" w:after="200" w:line="276" w:lineRule="auto"/>
      </w:pPr>
      <w:r>
        <w:br w:type="page"/>
      </w:r>
    </w:p>
    <w:p w14:paraId="5959AD1D" w14:textId="3C0EB096" w:rsidR="008A41E6" w:rsidRPr="008A41E6" w:rsidRDefault="008A41E6" w:rsidP="008A41E6">
      <w:pPr>
        <w:rPr>
          <w:b/>
          <w:bCs/>
          <w:sz w:val="20"/>
          <w:szCs w:val="28"/>
        </w:rPr>
      </w:pPr>
      <w:r w:rsidRPr="008A41E6">
        <w:rPr>
          <w:b/>
          <w:bCs/>
          <w:sz w:val="20"/>
          <w:szCs w:val="28"/>
        </w:rPr>
        <w:lastRenderedPageBreak/>
        <w:t>APR and 618 -Timely and Accurate State Reported Data</w:t>
      </w:r>
    </w:p>
    <w:p w14:paraId="1A994B3A" w14:textId="05E7B6A8" w:rsidR="008A41E6" w:rsidRDefault="008A41E6" w:rsidP="008A41E6"/>
    <w:p w14:paraId="2557028E" w14:textId="23B6D103" w:rsidR="008A41E6" w:rsidRPr="008A41E6" w:rsidRDefault="008A41E6" w:rsidP="008A41E6">
      <w:pPr>
        <w:rPr>
          <w:b/>
          <w:bCs/>
        </w:rPr>
      </w:pPr>
      <w:r w:rsidRPr="008A41E6">
        <w:rPr>
          <w:b/>
          <w:bCs/>
        </w:rPr>
        <w:t>DATE: February 2025 Submission</w:t>
      </w:r>
    </w:p>
    <w:p w14:paraId="6428EBD3" w14:textId="10EBDA7E" w:rsidR="008A41E6" w:rsidRDefault="008A41E6" w:rsidP="008A41E6"/>
    <w:p w14:paraId="07678103" w14:textId="77777777" w:rsidR="004D63DC" w:rsidRDefault="004D63DC" w:rsidP="008A41E6">
      <w:pPr>
        <w:rPr>
          <w:b/>
          <w:bCs/>
        </w:rPr>
      </w:pPr>
      <w:r>
        <w:rPr>
          <w:b/>
          <w:bCs/>
        </w:rPr>
        <w:t>SPP/APR Data</w:t>
      </w:r>
    </w:p>
    <w:p w14:paraId="59D85CD3" w14:textId="77777777" w:rsidR="004D63DC" w:rsidRDefault="004D63DC" w:rsidP="008A41E6">
      <w:pPr>
        <w:rPr>
          <w:b/>
          <w:bCs/>
        </w:rPr>
      </w:pPr>
    </w:p>
    <w:p w14:paraId="4329C946" w14:textId="377D2699" w:rsidR="008A41E6" w:rsidRDefault="008A41E6" w:rsidP="008A41E6">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09A8599A" w14:textId="1A822BB6" w:rsidR="008A41E6" w:rsidRDefault="008A41E6" w:rsidP="008A41E6"/>
    <w:p w14:paraId="0ED39287" w14:textId="4C5646EE" w:rsidR="008A41E6" w:rsidRDefault="008A41E6" w:rsidP="008A41E6">
      <w:r w:rsidRPr="008A41E6">
        <w:rPr>
          <w:b/>
          <w:bCs/>
        </w:rPr>
        <w:t>Part C 618 Data</w:t>
      </w:r>
    </w:p>
    <w:p w14:paraId="56DFAC4A" w14:textId="5DE17FC1" w:rsidR="008A41E6" w:rsidRDefault="008A41E6" w:rsidP="008A41E6"/>
    <w:p w14:paraId="2EEEE608" w14:textId="168706F4" w:rsidR="008A41E6" w:rsidRDefault="008A41E6" w:rsidP="008A41E6">
      <w:r w:rsidRPr="008A41E6">
        <w:rPr>
          <w:b/>
          <w:bCs/>
        </w:rPr>
        <w:t>1) Timely</w:t>
      </w:r>
      <w:r w:rsidRPr="008A41E6">
        <w:t xml:space="preserve"> –   A State will receive one point if it </w:t>
      </w:r>
      <w:r w:rsidRPr="00106077">
        <w:t xml:space="preserve">submits </w:t>
      </w:r>
      <w:r w:rsidR="006563F6" w:rsidRPr="00106077">
        <w:t xml:space="preserve">all </w:t>
      </w:r>
      <w:r w:rsidR="006563F6" w:rsidRPr="00E70E58">
        <w:t>ED</w:t>
      </w:r>
      <w:r w:rsidR="006563F6" w:rsidRPr="00E70E58">
        <w:rPr>
          <w:i/>
          <w:iCs/>
        </w:rPr>
        <w:t>Facts</w:t>
      </w:r>
      <w:r w:rsidR="006563F6" w:rsidRPr="00E70E58">
        <w:t xml:space="preserve"> files or the entire EMAPS survey</w:t>
      </w:r>
      <w:r w:rsidR="006563F6" w:rsidRPr="00106077">
        <w:t xml:space="preserve"> </w:t>
      </w:r>
      <w:r w:rsidRPr="00106077">
        <w:t>associated</w:t>
      </w:r>
      <w:r w:rsidRPr="008A41E6">
        <w:t xml:space="preserve"> with the IDEA Section 618 data collection to ED by the initial due date for that collection (as described </w:t>
      </w:r>
      <w:r w:rsidR="001D046F">
        <w:t xml:space="preserve">in </w:t>
      </w:r>
      <w:r w:rsidRPr="008A41E6">
        <w:t>the table below)</w:t>
      </w:r>
      <w:r w:rsidR="006F3F34" w:rsidRPr="008A41E6">
        <w:t xml:space="preserve">. </w:t>
      </w:r>
      <w:r w:rsidRPr="008A41E6">
        <w:t xml:space="preserve">  </w:t>
      </w:r>
    </w:p>
    <w:p w14:paraId="69375CF6" w14:textId="0BF63352" w:rsidR="008A41E6" w:rsidRDefault="008A41E6" w:rsidP="008A41E6"/>
    <w:tbl>
      <w:tblPr>
        <w:tblStyle w:val="TableGrid"/>
        <w:tblW w:w="0" w:type="auto"/>
        <w:tblLook w:val="04A0" w:firstRow="1" w:lastRow="0" w:firstColumn="1" w:lastColumn="0" w:noHBand="0" w:noVBand="1"/>
        <w:tblCaption w:val="CRUBCFFYREADME"/>
      </w:tblPr>
      <w:tblGrid>
        <w:gridCol w:w="2785"/>
        <w:gridCol w:w="3615"/>
        <w:gridCol w:w="3230"/>
      </w:tblGrid>
      <w:tr w:rsidR="008A41E6" w:rsidRPr="008A41E6" w14:paraId="5C446AB4" w14:textId="77777777" w:rsidTr="00E70E58">
        <w:trPr>
          <w:trHeight w:val="290"/>
        </w:trPr>
        <w:tc>
          <w:tcPr>
            <w:tcW w:w="2785" w:type="dxa"/>
            <w:hideMark/>
          </w:tcPr>
          <w:p w14:paraId="7E9517B5" w14:textId="77777777" w:rsidR="008A41E6" w:rsidRPr="008A41E6" w:rsidRDefault="008A41E6" w:rsidP="008A41E6">
            <w:pPr>
              <w:rPr>
                <w:b/>
                <w:bCs/>
              </w:rPr>
            </w:pPr>
            <w:r w:rsidRPr="008A41E6">
              <w:rPr>
                <w:b/>
                <w:bCs/>
              </w:rPr>
              <w:t>618 Data Collection</w:t>
            </w:r>
          </w:p>
        </w:tc>
        <w:tc>
          <w:tcPr>
            <w:tcW w:w="3615" w:type="dxa"/>
            <w:shd w:val="clear" w:color="auto" w:fill="auto"/>
            <w:hideMark/>
          </w:tcPr>
          <w:p w14:paraId="38BB8167" w14:textId="552278EF" w:rsidR="008A41E6" w:rsidRPr="0063702E" w:rsidRDefault="00B73622">
            <w:pPr>
              <w:rPr>
                <w:b/>
                <w:bCs/>
              </w:rPr>
            </w:pPr>
            <w:r w:rsidRPr="00E70E58">
              <w:rPr>
                <w:b/>
                <w:bCs/>
              </w:rPr>
              <w:t>ED</w:t>
            </w:r>
            <w:r w:rsidRPr="00E70E58">
              <w:rPr>
                <w:b/>
                <w:bCs/>
                <w:i/>
                <w:iCs/>
              </w:rPr>
              <w:t>Facts</w:t>
            </w:r>
            <w:r w:rsidRPr="00E70E58">
              <w:rPr>
                <w:b/>
                <w:bCs/>
              </w:rPr>
              <w:t xml:space="preserve"> Files/ EMAPS Survey</w:t>
            </w:r>
            <w:r w:rsidRPr="0063702E">
              <w:rPr>
                <w:rFonts w:cs="Arial"/>
                <w:szCs w:val="16"/>
              </w:rPr>
              <w:t> </w:t>
            </w:r>
          </w:p>
        </w:tc>
        <w:tc>
          <w:tcPr>
            <w:tcW w:w="3230" w:type="dxa"/>
            <w:hideMark/>
          </w:tcPr>
          <w:p w14:paraId="0C600FA2" w14:textId="77777777" w:rsidR="008A41E6" w:rsidRPr="008A41E6" w:rsidRDefault="008A41E6">
            <w:pPr>
              <w:rPr>
                <w:b/>
                <w:bCs/>
              </w:rPr>
            </w:pPr>
            <w:r w:rsidRPr="008A41E6">
              <w:rPr>
                <w:b/>
                <w:bCs/>
              </w:rPr>
              <w:t>Due Date</w:t>
            </w:r>
          </w:p>
        </w:tc>
      </w:tr>
      <w:tr w:rsidR="00D34E49" w:rsidRPr="008A41E6" w14:paraId="48B0EA70" w14:textId="77777777" w:rsidTr="008A41E6">
        <w:trPr>
          <w:trHeight w:val="340"/>
        </w:trPr>
        <w:tc>
          <w:tcPr>
            <w:tcW w:w="2785" w:type="dxa"/>
            <w:hideMark/>
          </w:tcPr>
          <w:p w14:paraId="47BE65B7" w14:textId="77777777" w:rsidR="00D34E49" w:rsidRPr="008A41E6" w:rsidRDefault="00D34E49" w:rsidP="00D34E49">
            <w:r w:rsidRPr="008A41E6">
              <w:t>Part C Child Count and Setting</w:t>
            </w:r>
          </w:p>
        </w:tc>
        <w:tc>
          <w:tcPr>
            <w:tcW w:w="3615" w:type="dxa"/>
            <w:hideMark/>
          </w:tcPr>
          <w:p w14:paraId="6E50EDA7" w14:textId="77777777" w:rsidR="00D34E49" w:rsidRPr="008A41E6" w:rsidRDefault="00D34E49" w:rsidP="00D34E49">
            <w:r w:rsidRPr="008A41E6">
              <w:t>Part C Child Count and Settings in E</w:t>
            </w:r>
            <w:r w:rsidRPr="00555AD9">
              <w:t>MAPS</w:t>
            </w:r>
          </w:p>
        </w:tc>
        <w:tc>
          <w:tcPr>
            <w:tcW w:w="3230" w:type="dxa"/>
            <w:hideMark/>
          </w:tcPr>
          <w:p w14:paraId="31BA0725" w14:textId="0BDB68A4" w:rsidR="00D34E49" w:rsidRPr="008A41E6" w:rsidRDefault="00E654EA" w:rsidP="00D34E49">
            <w:r>
              <w:t>7</w:t>
            </w:r>
            <w:r w:rsidR="00D34E49">
              <w:t>/3</w:t>
            </w:r>
            <w:r>
              <w:t>1</w:t>
            </w:r>
            <w:r w:rsidR="00D34E49">
              <w:t>/202</w:t>
            </w:r>
            <w:r>
              <w:t>4</w:t>
            </w:r>
          </w:p>
        </w:tc>
      </w:tr>
      <w:tr w:rsidR="00D34E49" w:rsidRPr="008A41E6" w14:paraId="1173D2B3" w14:textId="77777777" w:rsidTr="008A41E6">
        <w:trPr>
          <w:trHeight w:val="340"/>
        </w:trPr>
        <w:tc>
          <w:tcPr>
            <w:tcW w:w="2785" w:type="dxa"/>
            <w:hideMark/>
          </w:tcPr>
          <w:p w14:paraId="461E95EA" w14:textId="77777777" w:rsidR="00D34E49" w:rsidRPr="008A41E6" w:rsidRDefault="00D34E49" w:rsidP="00D34E49">
            <w:r w:rsidRPr="008A41E6">
              <w:t>Part C Exiting</w:t>
            </w:r>
          </w:p>
        </w:tc>
        <w:tc>
          <w:tcPr>
            <w:tcW w:w="3615" w:type="dxa"/>
            <w:hideMark/>
          </w:tcPr>
          <w:p w14:paraId="1E6A19F0" w14:textId="6EB7F2C8" w:rsidR="00D34E49" w:rsidRPr="008A41E6" w:rsidRDefault="007169B7" w:rsidP="00D34E49">
            <w:r>
              <w:t>FS901</w:t>
            </w:r>
          </w:p>
        </w:tc>
        <w:tc>
          <w:tcPr>
            <w:tcW w:w="3230" w:type="dxa"/>
            <w:hideMark/>
          </w:tcPr>
          <w:p w14:paraId="6771BD30" w14:textId="5E4D5BE1" w:rsidR="00D34E49" w:rsidRPr="008A41E6" w:rsidRDefault="004421DE" w:rsidP="00D34E49">
            <w:r>
              <w:t>3</w:t>
            </w:r>
            <w:r w:rsidR="00D34E49">
              <w:t>/</w:t>
            </w:r>
            <w:r>
              <w:t>5</w:t>
            </w:r>
            <w:r w:rsidR="00D34E49">
              <w:t>/202</w:t>
            </w:r>
            <w:r w:rsidR="00E654EA">
              <w:t>5</w:t>
            </w:r>
          </w:p>
        </w:tc>
      </w:tr>
      <w:tr w:rsidR="00D34E49" w:rsidRPr="008A41E6" w14:paraId="44C89D7A" w14:textId="77777777" w:rsidTr="008A41E6">
        <w:trPr>
          <w:trHeight w:val="340"/>
        </w:trPr>
        <w:tc>
          <w:tcPr>
            <w:tcW w:w="2785" w:type="dxa"/>
            <w:hideMark/>
          </w:tcPr>
          <w:p w14:paraId="2366E4F6" w14:textId="77777777" w:rsidR="00D34E49" w:rsidRPr="008A41E6" w:rsidRDefault="00D34E49" w:rsidP="00D34E49">
            <w:r w:rsidRPr="008A41E6">
              <w:t xml:space="preserve">Part C Dispute Resolution </w:t>
            </w:r>
          </w:p>
        </w:tc>
        <w:tc>
          <w:tcPr>
            <w:tcW w:w="3615" w:type="dxa"/>
            <w:hideMark/>
          </w:tcPr>
          <w:p w14:paraId="3D6A733B" w14:textId="77777777" w:rsidR="00D34E49" w:rsidRPr="008A41E6" w:rsidRDefault="00D34E49" w:rsidP="00D34E49">
            <w:r w:rsidRPr="008A41E6">
              <w:t>Part C Dispute Resolution Survey in E</w:t>
            </w:r>
            <w:r w:rsidRPr="00555AD9">
              <w:t>MAPS</w:t>
            </w:r>
          </w:p>
        </w:tc>
        <w:tc>
          <w:tcPr>
            <w:tcW w:w="3230" w:type="dxa"/>
            <w:hideMark/>
          </w:tcPr>
          <w:p w14:paraId="37D36B50" w14:textId="25E08FCD" w:rsidR="00D34E49" w:rsidRPr="008A41E6" w:rsidRDefault="00D34E49" w:rsidP="00D34E49">
            <w:r>
              <w:t>11/1</w:t>
            </w:r>
            <w:r w:rsidR="00E654EA">
              <w:t>3</w:t>
            </w:r>
            <w:r>
              <w:t>/202</w:t>
            </w:r>
            <w:r w:rsidR="00E654EA">
              <w:t>4</w:t>
            </w:r>
          </w:p>
        </w:tc>
      </w:tr>
    </w:tbl>
    <w:p w14:paraId="7F1B7E1E" w14:textId="08E3DD99" w:rsidR="008A41E6" w:rsidRDefault="008A41E6" w:rsidP="008A41E6"/>
    <w:p w14:paraId="5A249D59" w14:textId="77777777" w:rsidR="008A41E6" w:rsidRPr="008A41E6" w:rsidRDefault="008A41E6" w:rsidP="008A41E6">
      <w:pPr>
        <w:rPr>
          <w:b/>
          <w:bCs/>
        </w:rPr>
      </w:pPr>
      <w:r w:rsidRPr="008A41E6">
        <w:rPr>
          <w:b/>
          <w:bCs/>
        </w:rPr>
        <w:t>2) Complete Data</w:t>
      </w:r>
      <w:r w:rsidRPr="008A41E6">
        <w:t xml:space="preserve"> – A State will receive one point if it submits data for all data elements, subtotals, totals as well as responses to all questions associated with a specific data collection by the initial due date. No data is reported as missing. No placeholder data is submitted. State-level data include data from all districts or agencies.</w:t>
      </w:r>
    </w:p>
    <w:p w14:paraId="28B8ED82" w14:textId="74CFF7DA" w:rsidR="008A41E6" w:rsidRDefault="008A41E6" w:rsidP="008A41E6"/>
    <w:p w14:paraId="2EA74A56" w14:textId="4E232641" w:rsidR="008A41E6" w:rsidRPr="008A41E6" w:rsidRDefault="008A41E6" w:rsidP="008A41E6">
      <w:pPr>
        <w:rPr>
          <w:b/>
          <w:bCs/>
        </w:rPr>
      </w:pPr>
      <w:r w:rsidRPr="008A41E6">
        <w:rPr>
          <w:b/>
          <w:bCs/>
        </w:rPr>
        <w:t xml:space="preserve">3) Passed Edit Check – </w:t>
      </w:r>
      <w:r w:rsidRPr="008A41E6">
        <w:t>A State will receive one point if it submits data that meets all the edit checks related to the specific data collection by the initial due date. The counts included in 618 data submissions are internally consistent within a data collection</w:t>
      </w:r>
      <w:r w:rsidRPr="00924FA7">
        <w:t xml:space="preserve">. </w:t>
      </w:r>
    </w:p>
    <w:p w14:paraId="69646AD1" w14:textId="77777777" w:rsidR="008A41E6" w:rsidRDefault="008A41E6" w:rsidP="008A41E6"/>
    <w:p w14:paraId="0A8D754F" w14:textId="6FDA0BB2" w:rsidR="008A41E6" w:rsidRPr="008A41E6" w:rsidRDefault="008A41E6" w:rsidP="008A41E6">
      <w:pPr>
        <w:spacing w:before="0" w:after="200" w:line="276" w:lineRule="auto"/>
      </w:pPr>
      <w:r>
        <w:br w:type="page"/>
      </w:r>
    </w:p>
    <w:p w14:paraId="6054DF11" w14:textId="77777777" w:rsidR="00D21F29" w:rsidRPr="00CE7212" w:rsidRDefault="00D21F29" w:rsidP="00D21F29">
      <w:pPr>
        <w:pStyle w:val="Heading2"/>
        <w:rPr>
          <w:b w:val="0"/>
          <w:bCs w:val="0"/>
        </w:rPr>
      </w:pPr>
      <w:bookmarkStart w:id="86" w:name="_Hlk158188058"/>
      <w:r w:rsidRPr="00CE7212">
        <w:lastRenderedPageBreak/>
        <w:t>Dispute Resolution</w:t>
      </w:r>
    </w:p>
    <w:p w14:paraId="023C5A41" w14:textId="77777777" w:rsidR="00D21F29" w:rsidRPr="00CE7212" w:rsidRDefault="00D21F29" w:rsidP="00D21F29">
      <w:pPr>
        <w:rPr>
          <w:b/>
          <w:bCs/>
          <w:sz w:val="18"/>
          <w:szCs w:val="24"/>
        </w:rPr>
      </w:pPr>
      <w:r w:rsidRPr="00CE7212">
        <w:rPr>
          <w:b/>
          <w:bCs/>
          <w:sz w:val="18"/>
          <w:szCs w:val="24"/>
        </w:rPr>
        <w:t>IDEA Part C</w:t>
      </w:r>
    </w:p>
    <w:p w14:paraId="605F3046" w14:textId="77777777" w:rsidR="00D21F29" w:rsidRPr="00CE7212" w:rsidRDefault="00D21F29" w:rsidP="00D21F29">
      <w:pPr>
        <w:rPr>
          <w:b/>
          <w:bCs/>
          <w:sz w:val="18"/>
          <w:szCs w:val="24"/>
        </w:rPr>
      </w:pPr>
      <w:r w:rsidRPr="00CE7212">
        <w:rPr>
          <w:b/>
          <w:bCs/>
          <w:sz w:val="18"/>
          <w:szCs w:val="24"/>
        </w:rPr>
        <w:t>Louisiana</w:t>
      </w:r>
    </w:p>
    <w:p w14:paraId="3ECBE445" w14:textId="73B18151" w:rsidR="00D21F29" w:rsidRPr="00CE7212" w:rsidRDefault="00D21F29" w:rsidP="00D21F29">
      <w:pPr>
        <w:rPr>
          <w:b/>
          <w:bCs/>
          <w:sz w:val="18"/>
          <w:szCs w:val="24"/>
        </w:rPr>
      </w:pPr>
      <w:r w:rsidRPr="00CE7212">
        <w:rPr>
          <w:b/>
          <w:bCs/>
          <w:sz w:val="18"/>
          <w:szCs w:val="24"/>
        </w:rPr>
        <w:t>Year 2023-24</w:t>
      </w:r>
    </w:p>
    <w:p w14:paraId="788342D9" w14:textId="77777777" w:rsidR="00D21F29" w:rsidRPr="00597743" w:rsidRDefault="00D21F29" w:rsidP="00D21F29">
      <w:pPr>
        <w:spacing w:before="0" w:after="0"/>
        <w:rPr>
          <w:szCs w:val="16"/>
        </w:rPr>
      </w:pPr>
    </w:p>
    <w:p w14:paraId="5EA88314" w14:textId="77777777" w:rsidR="00D21F29" w:rsidRPr="00597743" w:rsidRDefault="00D21F29" w:rsidP="00D21F29">
      <w:pPr>
        <w:rPr>
          <w:rFonts w:cs="Arial"/>
          <w:b/>
          <w:bCs/>
          <w:szCs w:val="16"/>
        </w:rPr>
      </w:pPr>
      <w:r w:rsidRPr="00597743">
        <w:rPr>
          <w:rFonts w:cs="Arial"/>
          <w:b/>
          <w:bCs/>
          <w:szCs w:val="16"/>
        </w:rPr>
        <w:t>Section A: Written, Signed Complaints</w:t>
      </w:r>
    </w:p>
    <w:tbl>
      <w:tblPr>
        <w:tblStyle w:val="TableGrid1"/>
        <w:tblW w:w="5000" w:type="pct"/>
        <w:tblLook w:val="04A0" w:firstRow="1" w:lastRow="0" w:firstColumn="1" w:lastColumn="0" w:noHBand="0" w:noVBand="1"/>
        <w:tblCaption w:val="C03ACPDQ"/>
        <w:tblDescription w:val="Section A: Written, Signed Complaints"/>
      </w:tblPr>
      <w:tblGrid>
        <w:gridCol w:w="8004"/>
        <w:gridCol w:w="2786"/>
      </w:tblGrid>
      <w:tr w:rsidR="00D21F29" w:rsidRPr="00597743" w14:paraId="1381139F"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1B98709" w14:textId="77777777" w:rsidR="00D21F29" w:rsidRPr="00597743" w:rsidRDefault="00D21F29">
            <w:pPr>
              <w:rPr>
                <w:rFonts w:cs="Arial"/>
                <w:b/>
                <w:bCs/>
                <w:szCs w:val="16"/>
              </w:rPr>
            </w:pPr>
            <w:r w:rsidRPr="00597743">
              <w:rPr>
                <w:rFonts w:cs="Arial"/>
                <w:b/>
                <w:bCs/>
                <w:szCs w:val="16"/>
              </w:rPr>
              <w:t>(1) Total number of written signed complaints filed.</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57E25E8" w14:textId="77777777" w:rsidR="00D21F29" w:rsidRPr="00597743" w:rsidRDefault="00D21F29">
            <w:pPr>
              <w:rPr>
                <w:rFonts w:cs="Arial"/>
                <w:szCs w:val="16"/>
              </w:rPr>
            </w:pPr>
            <w:r w:rsidRPr="00597743">
              <w:rPr>
                <w:rFonts w:cs="Arial"/>
                <w:szCs w:val="16"/>
              </w:rPr>
              <w:t>11</w:t>
            </w:r>
          </w:p>
        </w:tc>
      </w:tr>
      <w:tr w:rsidR="00D21F29" w:rsidRPr="00597743" w14:paraId="7A6387CD"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9DA792D" w14:textId="77777777" w:rsidR="00D21F29" w:rsidRPr="00597743" w:rsidRDefault="00D21F29">
            <w:pPr>
              <w:rPr>
                <w:rFonts w:cs="Arial"/>
                <w:szCs w:val="16"/>
              </w:rPr>
            </w:pPr>
            <w:r w:rsidRPr="00597743">
              <w:rPr>
                <w:rFonts w:cs="Arial"/>
                <w:szCs w:val="16"/>
              </w:rPr>
              <w:t>(1.1) Complaints with reports issued.</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D6798F4" w14:textId="77777777" w:rsidR="00D21F29" w:rsidRPr="00597743" w:rsidRDefault="00D21F29">
            <w:pPr>
              <w:rPr>
                <w:rFonts w:cs="Arial"/>
                <w:szCs w:val="16"/>
              </w:rPr>
            </w:pPr>
            <w:r w:rsidRPr="00597743">
              <w:rPr>
                <w:rFonts w:cs="Arial"/>
                <w:szCs w:val="16"/>
              </w:rPr>
              <w:t>11</w:t>
            </w:r>
          </w:p>
        </w:tc>
      </w:tr>
      <w:tr w:rsidR="00D21F29" w:rsidRPr="00597743" w14:paraId="2A56B790"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75DC865" w14:textId="77777777" w:rsidR="00D21F29" w:rsidRPr="00597743" w:rsidRDefault="00D21F29">
            <w:pPr>
              <w:rPr>
                <w:rFonts w:cs="Arial"/>
                <w:szCs w:val="16"/>
              </w:rPr>
            </w:pPr>
            <w:r w:rsidRPr="00597743">
              <w:rPr>
                <w:rFonts w:cs="Arial"/>
                <w:szCs w:val="16"/>
              </w:rPr>
              <w:t>(1.1) (a) Reports with findings of noncompliance.</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3DDAD86" w14:textId="77777777" w:rsidR="00D21F29" w:rsidRPr="00597743" w:rsidRDefault="00D21F29">
            <w:pPr>
              <w:rPr>
                <w:rFonts w:cs="Arial"/>
                <w:szCs w:val="16"/>
              </w:rPr>
            </w:pPr>
            <w:r w:rsidRPr="00597743">
              <w:rPr>
                <w:rFonts w:cs="Arial"/>
                <w:szCs w:val="16"/>
              </w:rPr>
              <w:t>4</w:t>
            </w:r>
          </w:p>
        </w:tc>
      </w:tr>
      <w:tr w:rsidR="00D21F29" w:rsidRPr="00597743" w14:paraId="65DF4E02"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BCCC689" w14:textId="77777777" w:rsidR="00D21F29" w:rsidRPr="00597743" w:rsidRDefault="00D21F29">
            <w:pPr>
              <w:rPr>
                <w:rFonts w:cs="Arial"/>
                <w:szCs w:val="16"/>
              </w:rPr>
            </w:pPr>
            <w:r w:rsidRPr="00597743">
              <w:rPr>
                <w:rFonts w:cs="Arial"/>
                <w:szCs w:val="16"/>
              </w:rPr>
              <w:t>(1.1) (b) Reports within timelines.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59E94A96" w14:textId="77777777" w:rsidR="00D21F29" w:rsidRPr="00597743" w:rsidRDefault="00D21F29">
            <w:pPr>
              <w:rPr>
                <w:rFonts w:cs="Arial"/>
                <w:szCs w:val="16"/>
              </w:rPr>
            </w:pPr>
            <w:r w:rsidRPr="00597743">
              <w:rPr>
                <w:rFonts w:cs="Arial"/>
                <w:szCs w:val="16"/>
              </w:rPr>
              <w:t>11</w:t>
            </w:r>
          </w:p>
        </w:tc>
      </w:tr>
      <w:tr w:rsidR="00D21F29" w:rsidRPr="00597743" w14:paraId="0C3DB357"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2C083AF" w14:textId="77777777" w:rsidR="00D21F29" w:rsidRPr="00597743" w:rsidRDefault="00D21F29">
            <w:pPr>
              <w:rPr>
                <w:rFonts w:cs="Arial"/>
                <w:szCs w:val="16"/>
              </w:rPr>
            </w:pPr>
            <w:r w:rsidRPr="00597743">
              <w:rPr>
                <w:rFonts w:cs="Arial"/>
                <w:szCs w:val="16"/>
              </w:rPr>
              <w:t>(1.1) (c) Reports within extended timelines.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E88AC0F" w14:textId="77777777" w:rsidR="00D21F29" w:rsidRPr="00597743" w:rsidRDefault="00D21F29">
            <w:pPr>
              <w:rPr>
                <w:rFonts w:cs="Arial"/>
                <w:szCs w:val="16"/>
              </w:rPr>
            </w:pPr>
            <w:r w:rsidRPr="00597743">
              <w:rPr>
                <w:rFonts w:cs="Arial"/>
                <w:szCs w:val="16"/>
              </w:rPr>
              <w:t>0</w:t>
            </w:r>
          </w:p>
        </w:tc>
      </w:tr>
      <w:tr w:rsidR="00D21F29" w:rsidRPr="00597743" w14:paraId="5E8A975A"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615B5B2" w14:textId="77777777" w:rsidR="00D21F29" w:rsidRPr="00597743" w:rsidRDefault="00D21F29">
            <w:pPr>
              <w:rPr>
                <w:rFonts w:cs="Arial"/>
                <w:szCs w:val="16"/>
              </w:rPr>
            </w:pPr>
            <w:r w:rsidRPr="00597743">
              <w:rPr>
                <w:rFonts w:cs="Arial"/>
                <w:szCs w:val="16"/>
              </w:rPr>
              <w:t xml:space="preserve">(1.2)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9E84421" w14:textId="77777777" w:rsidR="00D21F29" w:rsidRPr="00597743" w:rsidRDefault="00D21F29">
            <w:pPr>
              <w:rPr>
                <w:rFonts w:cs="Arial"/>
                <w:szCs w:val="16"/>
              </w:rPr>
            </w:pPr>
            <w:r w:rsidRPr="00597743">
              <w:rPr>
                <w:rFonts w:cs="Arial"/>
                <w:szCs w:val="16"/>
              </w:rPr>
              <w:t>0</w:t>
            </w:r>
          </w:p>
        </w:tc>
      </w:tr>
      <w:tr w:rsidR="00D21F29" w:rsidRPr="00597743" w14:paraId="285C244D"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5DD5128" w14:textId="77777777" w:rsidR="00D21F29" w:rsidRPr="00597743" w:rsidRDefault="00D21F29">
            <w:pPr>
              <w:rPr>
                <w:rFonts w:cs="Arial"/>
                <w:szCs w:val="16"/>
              </w:rPr>
            </w:pPr>
            <w:r w:rsidRPr="00597743">
              <w:rPr>
                <w:rFonts w:cs="Arial"/>
                <w:szCs w:val="16"/>
              </w:rPr>
              <w:t xml:space="preserve">(1.2) (a) Complaints pending a due process hearing.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67F2FDE" w14:textId="77777777" w:rsidR="00D21F29" w:rsidRPr="00597743" w:rsidRDefault="00D21F29">
            <w:pPr>
              <w:rPr>
                <w:rFonts w:cs="Arial"/>
                <w:szCs w:val="16"/>
              </w:rPr>
            </w:pPr>
            <w:r w:rsidRPr="00597743">
              <w:rPr>
                <w:rFonts w:cs="Arial"/>
                <w:szCs w:val="16"/>
              </w:rPr>
              <w:t>0</w:t>
            </w:r>
          </w:p>
        </w:tc>
      </w:tr>
      <w:tr w:rsidR="00D21F29" w:rsidRPr="00597743" w14:paraId="0833B76F"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71E970D7" w14:textId="77777777" w:rsidR="00D21F29" w:rsidRPr="00597743" w:rsidRDefault="00D21F29">
            <w:pPr>
              <w:rPr>
                <w:rFonts w:cs="Arial"/>
                <w:szCs w:val="16"/>
              </w:rPr>
            </w:pPr>
            <w:r w:rsidRPr="00597743">
              <w:rPr>
                <w:rFonts w:cs="Arial"/>
                <w:szCs w:val="16"/>
              </w:rPr>
              <w:t xml:space="preserve">(1.3) Complaints withdrawn or dismissed.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39AE444" w14:textId="77777777" w:rsidR="00D21F29" w:rsidRPr="00597743" w:rsidRDefault="00D21F29">
            <w:pPr>
              <w:rPr>
                <w:rFonts w:cs="Arial"/>
                <w:szCs w:val="16"/>
              </w:rPr>
            </w:pPr>
            <w:r w:rsidRPr="00597743">
              <w:rPr>
                <w:rFonts w:cs="Arial"/>
                <w:szCs w:val="16"/>
              </w:rPr>
              <w:t>0</w:t>
            </w:r>
          </w:p>
        </w:tc>
      </w:tr>
    </w:tbl>
    <w:p w14:paraId="4310CFAD" w14:textId="77777777" w:rsidR="00D21F29" w:rsidRPr="00597743" w:rsidRDefault="00D21F29" w:rsidP="00D21F29">
      <w:pPr>
        <w:rPr>
          <w:rFonts w:cs="Arial"/>
          <w:b/>
          <w:bCs/>
          <w:szCs w:val="16"/>
        </w:rPr>
      </w:pPr>
    </w:p>
    <w:p w14:paraId="76FBFC15" w14:textId="77777777" w:rsidR="00D21F29" w:rsidRPr="00597743" w:rsidRDefault="00D21F29" w:rsidP="00D21F29">
      <w:pPr>
        <w:rPr>
          <w:rFonts w:cs="Arial"/>
          <w:b/>
          <w:bCs/>
          <w:szCs w:val="16"/>
        </w:rPr>
      </w:pPr>
      <w:r w:rsidRPr="00597743">
        <w:rPr>
          <w:rFonts w:cs="Arial"/>
          <w:b/>
          <w:bCs/>
          <w:szCs w:val="16"/>
        </w:rPr>
        <w:t>Section B: Mediation Requests</w:t>
      </w:r>
    </w:p>
    <w:tbl>
      <w:tblPr>
        <w:tblStyle w:val="TableGrid1"/>
        <w:tblW w:w="5000" w:type="pct"/>
        <w:tblLook w:val="04A0" w:firstRow="1" w:lastRow="0" w:firstColumn="1" w:lastColumn="0" w:noHBand="0" w:noVBand="1"/>
        <w:tblCaption w:val="C03BCPDQ"/>
        <w:tblDescription w:val="Section B: Mediation Requests"/>
      </w:tblPr>
      <w:tblGrid>
        <w:gridCol w:w="8004"/>
        <w:gridCol w:w="2786"/>
      </w:tblGrid>
      <w:tr w:rsidR="00D21F29" w:rsidRPr="00597743" w14:paraId="79CA6244"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C02A279" w14:textId="77777777" w:rsidR="00D21F29" w:rsidRPr="00597743" w:rsidRDefault="00D21F29">
            <w:pPr>
              <w:rPr>
                <w:rFonts w:cs="Arial"/>
                <w:b/>
                <w:bCs/>
                <w:szCs w:val="16"/>
              </w:rPr>
            </w:pPr>
            <w:r w:rsidRPr="00597743">
              <w:rPr>
                <w:rFonts w:cs="Arial"/>
                <w:b/>
                <w:bCs/>
                <w:szCs w:val="16"/>
              </w:rPr>
              <w:t xml:space="preserve">(2) Total number of mediation requests received through all dispute resolution processes.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C1FC4B6" w14:textId="77777777" w:rsidR="00D21F29" w:rsidRPr="00597743" w:rsidRDefault="00D21F29">
            <w:pPr>
              <w:rPr>
                <w:rFonts w:cs="Arial"/>
                <w:szCs w:val="16"/>
              </w:rPr>
            </w:pPr>
            <w:r w:rsidRPr="00597743">
              <w:rPr>
                <w:rFonts w:cs="Arial"/>
                <w:szCs w:val="16"/>
              </w:rPr>
              <w:t>0</w:t>
            </w:r>
          </w:p>
        </w:tc>
      </w:tr>
      <w:tr w:rsidR="00D21F29" w:rsidRPr="00597743" w14:paraId="6D99FDFB"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6428B6F9" w14:textId="77777777" w:rsidR="00D21F29" w:rsidRPr="00597743" w:rsidRDefault="00D21F29">
            <w:pPr>
              <w:rPr>
                <w:rFonts w:cs="Arial"/>
                <w:szCs w:val="16"/>
              </w:rPr>
            </w:pPr>
            <w:r w:rsidRPr="00597743">
              <w:rPr>
                <w:rFonts w:cs="Arial"/>
                <w:szCs w:val="16"/>
              </w:rPr>
              <w:t xml:space="preserve">(2.1) Mediations held.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9005A6F" w14:textId="77777777" w:rsidR="00D21F29" w:rsidRPr="00597743" w:rsidRDefault="00D21F29">
            <w:pPr>
              <w:rPr>
                <w:rFonts w:cs="Arial"/>
                <w:szCs w:val="16"/>
              </w:rPr>
            </w:pPr>
            <w:r w:rsidRPr="00597743">
              <w:rPr>
                <w:rFonts w:cs="Arial"/>
                <w:szCs w:val="16"/>
              </w:rPr>
              <w:t>0</w:t>
            </w:r>
          </w:p>
        </w:tc>
      </w:tr>
      <w:tr w:rsidR="00D21F29" w:rsidRPr="00597743" w14:paraId="2A345FEA"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7B18616" w14:textId="77777777" w:rsidR="00D21F29" w:rsidRPr="00597743" w:rsidRDefault="00D21F29">
            <w:pPr>
              <w:rPr>
                <w:rFonts w:cs="Arial"/>
                <w:szCs w:val="16"/>
              </w:rPr>
            </w:pPr>
            <w:r w:rsidRPr="00597743">
              <w:rPr>
                <w:rFonts w:cs="Arial"/>
                <w:szCs w:val="16"/>
              </w:rPr>
              <w:t xml:space="preserve">(2.1) (a) Mediations held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071D63C" w14:textId="77777777" w:rsidR="00D21F29" w:rsidRPr="00597743" w:rsidRDefault="00D21F29">
            <w:pPr>
              <w:rPr>
                <w:rFonts w:cs="Arial"/>
                <w:szCs w:val="16"/>
              </w:rPr>
            </w:pPr>
            <w:r w:rsidRPr="00597743">
              <w:rPr>
                <w:rFonts w:cs="Arial"/>
                <w:szCs w:val="16"/>
              </w:rPr>
              <w:t>0</w:t>
            </w:r>
          </w:p>
        </w:tc>
      </w:tr>
      <w:tr w:rsidR="00D21F29" w:rsidRPr="00597743" w14:paraId="7C711A82"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6505C9E" w14:textId="77777777" w:rsidR="00D21F29" w:rsidRPr="00597743" w:rsidRDefault="00D21F29">
            <w:pPr>
              <w:rPr>
                <w:rFonts w:cs="Arial"/>
                <w:szCs w:val="16"/>
              </w:rPr>
            </w:pPr>
            <w:r w:rsidRPr="00597743">
              <w:rPr>
                <w:rFonts w:cs="Arial"/>
                <w:szCs w:val="16"/>
              </w:rPr>
              <w:t xml:space="preserve">(2.1) (a) (i) Mediation agreements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3FDD8C0" w14:textId="77777777" w:rsidR="00D21F29" w:rsidRPr="00597743" w:rsidRDefault="00D21F29">
            <w:pPr>
              <w:rPr>
                <w:rFonts w:cs="Arial"/>
                <w:szCs w:val="16"/>
              </w:rPr>
            </w:pPr>
            <w:r w:rsidRPr="00597743">
              <w:rPr>
                <w:rFonts w:cs="Arial"/>
                <w:szCs w:val="16"/>
              </w:rPr>
              <w:t>0</w:t>
            </w:r>
          </w:p>
        </w:tc>
      </w:tr>
      <w:tr w:rsidR="00D21F29" w:rsidRPr="00597743" w14:paraId="24E8C154"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A12E87C" w14:textId="72F091E1" w:rsidR="00D21F29" w:rsidRPr="00597743" w:rsidRDefault="00D21F29">
            <w:pPr>
              <w:rPr>
                <w:rFonts w:cs="Arial"/>
                <w:szCs w:val="16"/>
              </w:rPr>
            </w:pPr>
            <w:r w:rsidRPr="00597743">
              <w:rPr>
                <w:rFonts w:cs="Arial"/>
                <w:szCs w:val="16"/>
              </w:rPr>
              <w:t xml:space="preserve">(2.1) (b) Mediations held not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26DAF3E" w14:textId="77777777" w:rsidR="00D21F29" w:rsidRPr="00597743" w:rsidRDefault="00D21F29">
            <w:pPr>
              <w:rPr>
                <w:rFonts w:cs="Arial"/>
                <w:szCs w:val="16"/>
              </w:rPr>
            </w:pPr>
            <w:r w:rsidRPr="00597743">
              <w:rPr>
                <w:rFonts w:cs="Arial"/>
                <w:szCs w:val="16"/>
              </w:rPr>
              <w:t>0</w:t>
            </w:r>
          </w:p>
        </w:tc>
      </w:tr>
      <w:tr w:rsidR="00D21F29" w:rsidRPr="00597743" w14:paraId="12462363"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04D8B43" w14:textId="77777777" w:rsidR="00D21F29" w:rsidRPr="00597743" w:rsidRDefault="00D21F29">
            <w:pPr>
              <w:rPr>
                <w:rFonts w:cs="Arial"/>
                <w:szCs w:val="16"/>
              </w:rPr>
            </w:pPr>
            <w:r w:rsidRPr="00597743">
              <w:rPr>
                <w:rFonts w:cs="Arial"/>
                <w:szCs w:val="16"/>
              </w:rPr>
              <w:t xml:space="preserve">(2.1) (b) (i) Mediation agreements not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9E4315B" w14:textId="77777777" w:rsidR="00D21F29" w:rsidRPr="00597743" w:rsidRDefault="00D21F29">
            <w:pPr>
              <w:rPr>
                <w:rFonts w:cs="Arial"/>
                <w:szCs w:val="16"/>
              </w:rPr>
            </w:pPr>
            <w:r w:rsidRPr="00597743">
              <w:rPr>
                <w:rFonts w:cs="Arial"/>
                <w:szCs w:val="16"/>
              </w:rPr>
              <w:t>0</w:t>
            </w:r>
          </w:p>
        </w:tc>
      </w:tr>
      <w:tr w:rsidR="00D21F29" w:rsidRPr="00597743" w14:paraId="2CA154DF"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7C850B4" w14:textId="77777777" w:rsidR="00D21F29" w:rsidRPr="00597743" w:rsidRDefault="00D21F29">
            <w:pPr>
              <w:rPr>
                <w:rFonts w:cs="Arial"/>
                <w:szCs w:val="16"/>
              </w:rPr>
            </w:pPr>
            <w:r w:rsidRPr="00597743">
              <w:rPr>
                <w:rFonts w:cs="Arial"/>
                <w:szCs w:val="16"/>
              </w:rPr>
              <w:t xml:space="preserve">(2.2) Mediations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ACCC4A9" w14:textId="77777777" w:rsidR="00D21F29" w:rsidRPr="00597743" w:rsidRDefault="00D21F29">
            <w:pPr>
              <w:rPr>
                <w:rFonts w:cs="Arial"/>
                <w:szCs w:val="16"/>
              </w:rPr>
            </w:pPr>
            <w:r w:rsidRPr="00597743">
              <w:rPr>
                <w:rFonts w:cs="Arial"/>
                <w:szCs w:val="16"/>
              </w:rPr>
              <w:t>0</w:t>
            </w:r>
          </w:p>
        </w:tc>
      </w:tr>
      <w:tr w:rsidR="00D21F29" w:rsidRPr="00597743" w14:paraId="1D8F5051"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441C1CF" w14:textId="77777777" w:rsidR="00D21F29" w:rsidRPr="00597743" w:rsidRDefault="00D21F29">
            <w:pPr>
              <w:rPr>
                <w:rFonts w:cs="Arial"/>
                <w:szCs w:val="16"/>
              </w:rPr>
            </w:pPr>
            <w:r w:rsidRPr="00597743">
              <w:rPr>
                <w:rFonts w:cs="Arial"/>
                <w:szCs w:val="16"/>
              </w:rPr>
              <w:t xml:space="preserve">(2.3) Mediations not held.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9B4F107" w14:textId="77777777" w:rsidR="00D21F29" w:rsidRPr="00597743" w:rsidRDefault="00D21F29">
            <w:pPr>
              <w:rPr>
                <w:rFonts w:cs="Arial"/>
                <w:szCs w:val="16"/>
              </w:rPr>
            </w:pPr>
            <w:r w:rsidRPr="00597743">
              <w:rPr>
                <w:rFonts w:cs="Arial"/>
                <w:szCs w:val="16"/>
              </w:rPr>
              <w:t>0</w:t>
            </w:r>
          </w:p>
        </w:tc>
      </w:tr>
    </w:tbl>
    <w:p w14:paraId="1E0904CD" w14:textId="77777777" w:rsidR="00D21F29" w:rsidRPr="00597743" w:rsidRDefault="00D21F29" w:rsidP="00D21F29">
      <w:pPr>
        <w:rPr>
          <w:rFonts w:cs="Arial"/>
          <w:b/>
          <w:bCs/>
          <w:szCs w:val="16"/>
        </w:rPr>
      </w:pPr>
    </w:p>
    <w:p w14:paraId="5B09E9FD" w14:textId="77777777" w:rsidR="00D21F29" w:rsidRPr="00597743" w:rsidRDefault="00D21F29" w:rsidP="00D21F29">
      <w:pPr>
        <w:rPr>
          <w:rFonts w:cs="Arial"/>
          <w:b/>
          <w:bCs/>
          <w:szCs w:val="16"/>
        </w:rPr>
      </w:pPr>
      <w:r w:rsidRPr="00597743">
        <w:rPr>
          <w:rFonts w:cs="Arial"/>
          <w:b/>
          <w:bCs/>
          <w:szCs w:val="16"/>
        </w:rPr>
        <w:t>Section C: Due Process Complaints</w:t>
      </w:r>
    </w:p>
    <w:tbl>
      <w:tblPr>
        <w:tblStyle w:val="TableGrid1"/>
        <w:tblW w:w="5000" w:type="pct"/>
        <w:tblLook w:val="04A0" w:firstRow="1" w:lastRow="0" w:firstColumn="1" w:lastColumn="0" w:noHBand="0" w:noVBand="1"/>
        <w:tblCaption w:val="C03CCPDQ"/>
        <w:tblDescription w:val="Section C: Due Process Complaints "/>
      </w:tblPr>
      <w:tblGrid>
        <w:gridCol w:w="8004"/>
        <w:gridCol w:w="2786"/>
      </w:tblGrid>
      <w:tr w:rsidR="00D21F29" w:rsidRPr="00597743" w14:paraId="078F6E85"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6626D9F" w14:textId="77777777" w:rsidR="00D21F29" w:rsidRPr="00597743" w:rsidRDefault="00D21F29">
            <w:pPr>
              <w:rPr>
                <w:rFonts w:cs="Arial"/>
                <w:b/>
                <w:bCs/>
                <w:szCs w:val="16"/>
              </w:rPr>
            </w:pPr>
            <w:r w:rsidRPr="00597743">
              <w:rPr>
                <w:rFonts w:cs="Arial"/>
                <w:b/>
                <w:bCs/>
                <w:szCs w:val="16"/>
              </w:rPr>
              <w:t xml:space="preserve">(3) Total number of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9143704" w14:textId="77777777" w:rsidR="00D21F29" w:rsidRPr="00597743" w:rsidRDefault="00D21F29">
            <w:pPr>
              <w:rPr>
                <w:rFonts w:cs="Arial"/>
                <w:szCs w:val="16"/>
              </w:rPr>
            </w:pPr>
            <w:r w:rsidRPr="00597743">
              <w:rPr>
                <w:rFonts w:cs="Arial"/>
                <w:szCs w:val="16"/>
              </w:rPr>
              <w:t>0</w:t>
            </w:r>
          </w:p>
        </w:tc>
      </w:tr>
      <w:tr w:rsidR="00D21F29" w:rsidRPr="00597743" w14:paraId="7FDAEBAB"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48FA488" w14:textId="77777777" w:rsidR="00D21F29" w:rsidRPr="00597743" w:rsidRDefault="00D21F29">
            <w:pPr>
              <w:rPr>
                <w:rFonts w:cs="Arial"/>
                <w:szCs w:val="16"/>
              </w:rPr>
            </w:pPr>
            <w:r w:rsidRPr="00597743">
              <w:rPr>
                <w:rFonts w:cs="Arial"/>
                <w:szCs w:val="16"/>
              </w:rPr>
              <w:t>Has your state adopted Part C due process hearing procedures under 34 CFR 303.430(d)(1) or Part B due process hearing procedures under 34 CFR 303.430(d)(2)?</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5A7C26F" w14:textId="77777777" w:rsidR="00D21F29" w:rsidRPr="00597743" w:rsidRDefault="00D21F29">
            <w:pPr>
              <w:rPr>
                <w:rFonts w:cs="Arial"/>
                <w:szCs w:val="16"/>
              </w:rPr>
            </w:pPr>
            <w:r w:rsidRPr="00597743">
              <w:rPr>
                <w:rFonts w:cs="Arial"/>
                <w:szCs w:val="16"/>
              </w:rPr>
              <w:t>PARTC</w:t>
            </w:r>
          </w:p>
        </w:tc>
      </w:tr>
      <w:tr w:rsidR="00D21F29" w:rsidRPr="00597743" w14:paraId="74ACBDC6"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C900D0A" w14:textId="77777777" w:rsidR="00D21F29" w:rsidRPr="00597743" w:rsidRDefault="00D21F29">
            <w:pPr>
              <w:rPr>
                <w:rFonts w:cs="Arial"/>
                <w:szCs w:val="16"/>
              </w:rPr>
            </w:pPr>
            <w:r w:rsidRPr="00597743">
              <w:rPr>
                <w:rFonts w:cs="Arial"/>
                <w:szCs w:val="16"/>
              </w:rPr>
              <w:t>(3.1) Resolution meetings (applicable ONLY for states using Part B due process hearing procedures).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D50ED50" w14:textId="77777777" w:rsidR="00D21F29" w:rsidRPr="00597743" w:rsidRDefault="00D21F29">
            <w:pPr>
              <w:rPr>
                <w:rFonts w:cs="Arial"/>
                <w:szCs w:val="16"/>
              </w:rPr>
            </w:pPr>
            <w:r w:rsidRPr="00597743">
              <w:rPr>
                <w:rFonts w:cs="Arial"/>
                <w:szCs w:val="16"/>
              </w:rPr>
              <w:t>N/A</w:t>
            </w:r>
          </w:p>
        </w:tc>
      </w:tr>
      <w:tr w:rsidR="00D21F29" w:rsidRPr="00597743" w14:paraId="29F4AB55"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1F9391C" w14:textId="77777777" w:rsidR="00D21F29" w:rsidRPr="00597743" w:rsidRDefault="00D21F29">
            <w:pPr>
              <w:rPr>
                <w:rFonts w:cs="Arial"/>
                <w:szCs w:val="16"/>
              </w:rPr>
            </w:pPr>
            <w:r w:rsidRPr="00597743">
              <w:rPr>
                <w:rFonts w:cs="Arial"/>
                <w:szCs w:val="16"/>
              </w:rPr>
              <w:t xml:space="preserve">(3.1) (a) Written settlement agreements reached through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110BB77" w14:textId="77777777" w:rsidR="00D21F29" w:rsidRPr="00597743" w:rsidRDefault="00D21F29">
            <w:pPr>
              <w:rPr>
                <w:rFonts w:cs="Arial"/>
                <w:szCs w:val="16"/>
              </w:rPr>
            </w:pPr>
            <w:r w:rsidRPr="00597743">
              <w:rPr>
                <w:rFonts w:cs="Arial"/>
                <w:szCs w:val="16"/>
              </w:rPr>
              <w:t>N/A</w:t>
            </w:r>
          </w:p>
        </w:tc>
      </w:tr>
      <w:tr w:rsidR="00D21F29" w:rsidRPr="00597743" w14:paraId="2C0BD5D8"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A5DB352" w14:textId="77777777" w:rsidR="00D21F29" w:rsidRPr="00597743" w:rsidRDefault="00D21F29">
            <w:pPr>
              <w:rPr>
                <w:rFonts w:cs="Arial"/>
                <w:szCs w:val="16"/>
              </w:rPr>
            </w:pPr>
            <w:r w:rsidRPr="00597743">
              <w:rPr>
                <w:rFonts w:cs="Arial"/>
                <w:szCs w:val="16"/>
              </w:rPr>
              <w:t xml:space="preserve">(3.2)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7B529A7" w14:textId="77777777" w:rsidR="00D21F29" w:rsidRPr="00597743" w:rsidRDefault="00D21F29">
            <w:pPr>
              <w:rPr>
                <w:rFonts w:cs="Arial"/>
                <w:szCs w:val="16"/>
              </w:rPr>
            </w:pPr>
            <w:r w:rsidRPr="00597743">
              <w:rPr>
                <w:rFonts w:cs="Arial"/>
                <w:szCs w:val="16"/>
              </w:rPr>
              <w:t>0</w:t>
            </w:r>
          </w:p>
        </w:tc>
      </w:tr>
      <w:tr w:rsidR="00D21F29" w:rsidRPr="00597743" w14:paraId="15D7F358"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D1781B4" w14:textId="77777777" w:rsidR="00D21F29" w:rsidRPr="00597743" w:rsidRDefault="00D21F29">
            <w:pPr>
              <w:rPr>
                <w:rFonts w:cs="Arial"/>
                <w:szCs w:val="16"/>
              </w:rPr>
            </w:pPr>
            <w:r w:rsidRPr="00597743">
              <w:rPr>
                <w:rFonts w:cs="Arial"/>
                <w:szCs w:val="16"/>
              </w:rPr>
              <w:t xml:space="preserve">(3.2) (a) Decisions within timeline.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9D7C61B" w14:textId="77777777" w:rsidR="00D21F29" w:rsidRPr="00597743" w:rsidRDefault="00D21F29">
            <w:pPr>
              <w:rPr>
                <w:rFonts w:cs="Arial"/>
                <w:szCs w:val="16"/>
              </w:rPr>
            </w:pPr>
            <w:r w:rsidRPr="00597743">
              <w:rPr>
                <w:rFonts w:cs="Arial"/>
                <w:szCs w:val="16"/>
              </w:rPr>
              <w:t>0</w:t>
            </w:r>
          </w:p>
        </w:tc>
      </w:tr>
      <w:tr w:rsidR="00D21F29" w:rsidRPr="00597743" w14:paraId="0DA8939E"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89F4246" w14:textId="77777777" w:rsidR="00D21F29" w:rsidRPr="00597743" w:rsidRDefault="00D21F29">
            <w:pPr>
              <w:rPr>
                <w:rFonts w:cs="Arial"/>
                <w:szCs w:val="16"/>
              </w:rPr>
            </w:pPr>
            <w:r w:rsidRPr="00597743">
              <w:rPr>
                <w:rFonts w:cs="Arial"/>
                <w:szCs w:val="16"/>
              </w:rPr>
              <w:t>(3.2) (b) Decisions within extended timeline.</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0BE3FF6" w14:textId="77777777" w:rsidR="00D21F29" w:rsidRPr="00597743" w:rsidRDefault="00D21F29">
            <w:pPr>
              <w:rPr>
                <w:rFonts w:cs="Arial"/>
                <w:szCs w:val="16"/>
              </w:rPr>
            </w:pPr>
            <w:r w:rsidRPr="00597743">
              <w:rPr>
                <w:rFonts w:cs="Arial"/>
                <w:szCs w:val="16"/>
              </w:rPr>
              <w:t>0</w:t>
            </w:r>
          </w:p>
        </w:tc>
      </w:tr>
      <w:tr w:rsidR="00D21F29" w:rsidRPr="00597743" w14:paraId="466514CB"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733C04F" w14:textId="77777777" w:rsidR="00D21F29" w:rsidRPr="00597743" w:rsidRDefault="00D21F29">
            <w:pPr>
              <w:rPr>
                <w:rFonts w:cs="Arial"/>
                <w:szCs w:val="16"/>
              </w:rPr>
            </w:pPr>
            <w:r w:rsidRPr="00597743">
              <w:rPr>
                <w:rFonts w:cs="Arial"/>
                <w:szCs w:val="16"/>
              </w:rPr>
              <w:t xml:space="preserve">(3.3) Hearings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7655B1C" w14:textId="77777777" w:rsidR="00D21F29" w:rsidRPr="00597743" w:rsidRDefault="00D21F29">
            <w:pPr>
              <w:rPr>
                <w:rFonts w:cs="Arial"/>
                <w:szCs w:val="16"/>
              </w:rPr>
            </w:pPr>
            <w:r w:rsidRPr="00597743">
              <w:rPr>
                <w:rFonts w:cs="Arial"/>
                <w:szCs w:val="16"/>
              </w:rPr>
              <w:t>0</w:t>
            </w:r>
          </w:p>
        </w:tc>
      </w:tr>
      <w:tr w:rsidR="00D21F29" w:rsidRPr="00597743" w14:paraId="08FC19D5"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EDB7E7F" w14:textId="77777777" w:rsidR="00D21F29" w:rsidRPr="00597743" w:rsidRDefault="00D21F29">
            <w:pPr>
              <w:rPr>
                <w:rFonts w:cs="Arial"/>
                <w:szCs w:val="16"/>
              </w:rPr>
            </w:pPr>
            <w:r w:rsidRPr="00597743">
              <w:rPr>
                <w:rFonts w:cs="Arial"/>
                <w:szCs w:val="16"/>
              </w:rPr>
              <w:t>(3.4) Due process complaints withdrawn or dismissed (including resolved without a hearing).</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590A44E" w14:textId="77777777" w:rsidR="00D21F29" w:rsidRPr="00597743" w:rsidRDefault="00D21F29">
            <w:pPr>
              <w:rPr>
                <w:rFonts w:cs="Arial"/>
                <w:szCs w:val="16"/>
              </w:rPr>
            </w:pPr>
            <w:r w:rsidRPr="00597743">
              <w:rPr>
                <w:rFonts w:cs="Arial"/>
                <w:szCs w:val="16"/>
              </w:rPr>
              <w:t>0</w:t>
            </w:r>
          </w:p>
        </w:tc>
      </w:tr>
    </w:tbl>
    <w:p w14:paraId="143166FD" w14:textId="77777777" w:rsidR="00D21F29" w:rsidRPr="00597743" w:rsidRDefault="00D21F29" w:rsidP="00D21F29">
      <w:pPr>
        <w:spacing w:before="0" w:after="0"/>
      </w:pPr>
    </w:p>
    <w:p w14:paraId="71021384" w14:textId="12AB5682" w:rsidR="005E10AF" w:rsidRPr="005E10AF" w:rsidRDefault="00D21F29" w:rsidP="005E10AF">
      <w:pPr>
        <w:spacing w:before="0" w:after="0"/>
        <w:rPr>
          <w:b/>
          <w:bCs/>
        </w:rPr>
      </w:pPr>
      <w:r w:rsidRPr="005E10AF">
        <w:rPr>
          <w:b/>
          <w:bCs/>
        </w:rPr>
        <w:t>This report shows the most recent data that was entered by:</w:t>
      </w:r>
    </w:p>
    <w:p w14:paraId="0CE90B53" w14:textId="6E617C64" w:rsidR="005E10AF" w:rsidRDefault="00D21F29" w:rsidP="00D21F29">
      <w:pPr>
        <w:spacing w:before="0" w:after="200" w:line="276" w:lineRule="auto"/>
      </w:pPr>
      <w:r w:rsidRPr="00597743">
        <w:t>Louisiana</w:t>
      </w:r>
    </w:p>
    <w:p w14:paraId="34F7578B" w14:textId="77777777" w:rsidR="005E10AF" w:rsidRPr="005E10AF" w:rsidRDefault="00D21F29" w:rsidP="005E10AF">
      <w:pPr>
        <w:spacing w:before="0" w:after="0"/>
        <w:rPr>
          <w:b/>
          <w:bCs/>
        </w:rPr>
      </w:pPr>
      <w:r w:rsidRPr="005E10AF">
        <w:rPr>
          <w:b/>
          <w:bCs/>
        </w:rPr>
        <w:t>These data were extracted on the close date:</w:t>
      </w:r>
    </w:p>
    <w:p w14:paraId="60858BB3" w14:textId="77777777" w:rsidR="00947802" w:rsidRDefault="00D21F29" w:rsidP="00D21F29">
      <w:pPr>
        <w:spacing w:before="0" w:after="200" w:line="276" w:lineRule="auto"/>
        <w:sectPr w:rsidR="00947802" w:rsidSect="00947802">
          <w:type w:val="continuous"/>
          <w:pgSz w:w="12240" w:h="15840" w:code="1"/>
          <w:pgMar w:top="720" w:right="720" w:bottom="720" w:left="720" w:header="0" w:footer="446" w:gutter="0"/>
          <w:cols w:space="720"/>
          <w:docGrid w:linePitch="218"/>
        </w:sectPr>
      </w:pPr>
      <w:r w:rsidRPr="00597743">
        <w:t>11/13/2024</w:t>
      </w:r>
      <w:bookmarkEnd w:id="86"/>
    </w:p>
    <w:p w14:paraId="6464D1AE" w14:textId="77777777" w:rsidR="009B4E7F" w:rsidRDefault="009B4E7F" w:rsidP="00D21F29">
      <w:pPr>
        <w:spacing w:before="0" w:after="200" w:line="276" w:lineRule="auto"/>
      </w:pPr>
    </w:p>
    <w:p w14:paraId="745D0D7F" w14:textId="77777777" w:rsidR="009B4E7F" w:rsidRDefault="009B4E7F" w:rsidP="00C571DA">
      <w:pPr>
        <w:pStyle w:val="Heading2"/>
      </w:pPr>
      <w:r>
        <w:br w:type="page"/>
      </w:r>
    </w:p>
    <w:p w14:paraId="6DFC7BF9" w14:textId="77777777" w:rsidR="000B7B9F" w:rsidRDefault="000B7B9F" w:rsidP="00C571DA">
      <w:pPr>
        <w:pStyle w:val="Heading2"/>
        <w:sectPr w:rsidR="000B7B9F" w:rsidSect="00947802">
          <w:type w:val="continuous"/>
          <w:pgSz w:w="12240" w:h="15840" w:code="1"/>
          <w:pgMar w:top="720" w:right="720" w:bottom="720" w:left="720" w:header="0" w:footer="446" w:gutter="0"/>
          <w:cols w:space="720"/>
          <w:docGrid w:linePitch="218"/>
        </w:sectPr>
      </w:pPr>
    </w:p>
    <w:p w14:paraId="4F693312" w14:textId="07B49994" w:rsidR="000135C2" w:rsidRPr="00DC6D97" w:rsidRDefault="000135C2" w:rsidP="00C571DA">
      <w:pPr>
        <w:pStyle w:val="Heading2"/>
      </w:pPr>
      <w:r w:rsidRPr="00DC6D97">
        <w:lastRenderedPageBreak/>
        <w:t>How the Department Made Determinations</w:t>
      </w:r>
    </w:p>
    <w:p w14:paraId="1D58C3C5" w14:textId="77777777" w:rsidR="002D491B" w:rsidRPr="00EC51AB" w:rsidRDefault="002D491B" w:rsidP="00EC51AB">
      <w:pPr>
        <w:pStyle w:val="BodyText"/>
      </w:pPr>
    </w:p>
    <w:p w14:paraId="6264FEA6" w14:textId="4D53A63C" w:rsidR="009E43D9" w:rsidRPr="004D63DC" w:rsidRDefault="009E43D9" w:rsidP="009E43D9">
      <w:pPr>
        <w:rPr>
          <w:rFonts w:cs="Arial"/>
          <w:szCs w:val="16"/>
        </w:rPr>
      </w:pPr>
      <w:r w:rsidRPr="004D63DC">
        <w:rPr>
          <w:rFonts w:cs="Arial"/>
          <w:szCs w:val="16"/>
        </w:rPr>
        <w:t>Below is the location of How the Department Made Determinations (HTDMD) on OSEP’s IDEA Website. How the Department Made Determinations in 2025 will be posted in June 2025. Copy and paste the link below into a browser to view.</w:t>
      </w:r>
    </w:p>
    <w:p w14:paraId="325E4192" w14:textId="77777777" w:rsidR="002D491B" w:rsidRPr="004D63DC" w:rsidRDefault="002D491B" w:rsidP="002D491B">
      <w:pPr>
        <w:pStyle w:val="BodyText"/>
        <w:spacing w:before="7"/>
        <w:rPr>
          <w:rFonts w:ascii="Arial" w:eastAsia="Calibri" w:hAnsi="Arial" w:cs="Arial"/>
          <w:sz w:val="16"/>
          <w:szCs w:val="16"/>
        </w:rPr>
      </w:pPr>
    </w:p>
    <w:p w14:paraId="7F274CE5" w14:textId="08285BF2" w:rsidR="008E2D1E" w:rsidRDefault="00A620D4" w:rsidP="00EC51AB">
      <w:pPr>
        <w:rPr>
          <w:rStyle w:val="Hyperlink"/>
        </w:rPr>
      </w:pPr>
      <w:hyperlink r:id="rId15" w:history="1">
        <w:r w:rsidR="00960762" w:rsidRPr="00960762">
          <w:rPr>
            <w:rStyle w:val="Hyperlink"/>
          </w:rPr>
          <w:t>https://sites.ed.gov/idea/how-the-department-made-determinations/</w:t>
        </w:r>
      </w:hyperlink>
    </w:p>
    <w:p w14:paraId="2F252782" w14:textId="77777777" w:rsidR="00504A61" w:rsidRPr="00EC51AB" w:rsidRDefault="00504A61" w:rsidP="00EC51AB"/>
    <w:p w14:paraId="0436A21B" w14:textId="0F5C13CE" w:rsidR="000B7B9F" w:rsidRDefault="000B7B9F">
      <w:pPr>
        <w:spacing w:before="0" w:after="200" w:line="276" w:lineRule="auto"/>
        <w:rPr>
          <w:rFonts w:eastAsiaTheme="majorEastAsia" w:cstheme="majorBidi"/>
          <w:b/>
          <w:bCs/>
          <w:sz w:val="20"/>
        </w:rPr>
      </w:pPr>
    </w:p>
    <w:p w14:paraId="2B246A89" w14:textId="77777777" w:rsidR="000B7B9F" w:rsidRDefault="000B7B9F" w:rsidP="00947802">
      <w:pPr>
        <w:pStyle w:val="Heading2"/>
        <w:rPr>
          <w:szCs w:val="22"/>
        </w:rPr>
        <w:sectPr w:rsidR="000B7B9F" w:rsidSect="00947802">
          <w:type w:val="continuous"/>
          <w:pgSz w:w="12240" w:h="15840" w:code="1"/>
          <w:pgMar w:top="720" w:right="720" w:bottom="720" w:left="720" w:header="0" w:footer="446" w:gutter="0"/>
          <w:cols w:space="720"/>
          <w:docGrid w:linePitch="218"/>
        </w:sectPr>
      </w:pPr>
    </w:p>
    <w:p w14:paraId="239D51D6" w14:textId="76FF7CFD" w:rsidR="00960762" w:rsidRDefault="00960762">
      <w:pPr>
        <w:spacing w:before="0" w:after="200" w:line="276" w:lineRule="auto"/>
      </w:pPr>
      <w:r>
        <w:rPr>
          <w:b/>
          <w:bCs/>
        </w:rPr>
        <w:br w:type="page"/>
      </w:r>
    </w:p>
    <w:p w14:paraId="0F8031DB" w14:textId="77777777" w:rsidR="00764AE7" w:rsidRDefault="00764AE7" w:rsidP="00947802">
      <w:pPr>
        <w:pStyle w:val="Heading2"/>
        <w:sectPr w:rsidR="00764AE7" w:rsidSect="008E3E24">
          <w:headerReference w:type="default" r:id="rId16"/>
          <w:footerReference w:type="default" r:id="rId17"/>
          <w:type w:val="continuous"/>
          <w:pgSz w:w="12240" w:h="15840" w:code="1"/>
          <w:pgMar w:top="720" w:right="720" w:bottom="720" w:left="720" w:header="0" w:footer="446" w:gutter="0"/>
          <w:cols w:space="720"/>
          <w:docGrid w:linePitch="218"/>
        </w:sectPr>
      </w:pPr>
    </w:p>
    <w:p w14:paraId="22C54C5E" w14:textId="77777777" w:rsidR="00947802" w:rsidRPr="00597743" w:rsidRDefault="00947802" w:rsidP="00DE3712">
      <w:pPr>
        <w:pStyle w:val="Heading2"/>
        <w:spacing w:before="0"/>
      </w:pPr>
      <w:r w:rsidRPr="00597743">
        <w:lastRenderedPageBreak/>
        <w:t>Final Determination Letter</w:t>
      </w:r>
    </w:p>
    <w:p w14:paraId="755B25C4" w14:textId="77777777" w:rsidR="00947802" w:rsidRPr="00CE7212" w:rsidRDefault="00947802" w:rsidP="00DE3712">
      <w:pPr>
        <w:spacing w:before="0" w:after="0" w:line="276" w:lineRule="auto"/>
        <w:rPr>
          <w:rFonts w:eastAsiaTheme="majorEastAsia" w:cstheme="majorBidi"/>
          <w:b/>
          <w:bCs/>
          <w:sz w:val="20"/>
          <w:szCs w:val="26"/>
        </w:rPr>
      </w:pPr>
    </w:p>
    <w:p w14:paraId="1A60DE47" w14:textId="2B5EABF8" w:rsidR="00D21F29" w:rsidRPr="00597743" w:rsidRDefault="00D21F29" w:rsidP="00D21F29">
      <w:pPr>
        <w:spacing w:before="0"/>
        <w:jc w:val="center"/>
        <w:rPr>
          <w:rFonts w:ascii="Times New Roman" w:hAnsi="Times New Roman"/>
          <w:sz w:val="24"/>
        </w:rPr>
      </w:pPr>
      <w:r w:rsidRPr="00597743">
        <w:t xml:space="preserve">June </w:t>
      </w:r>
      <w:r w:rsidR="00643754">
        <w:t>18</w:t>
      </w:r>
      <w:r w:rsidRPr="00597743">
        <w:rPr>
          <w:szCs w:val="24"/>
        </w:rPr>
        <w:t xml:space="preserve">, </w:t>
      </w:r>
      <w:r w:rsidRPr="00597743">
        <w:t>202</w:t>
      </w:r>
      <w:r w:rsidR="003E628F">
        <w:t>5</w:t>
      </w:r>
    </w:p>
    <w:p w14:paraId="113C15B3" w14:textId="77777777" w:rsidR="00D21F29" w:rsidRPr="00597743" w:rsidRDefault="00D21F29" w:rsidP="00D21F29">
      <w:pPr>
        <w:rPr>
          <w:szCs w:val="24"/>
        </w:rPr>
      </w:pPr>
      <w:r w:rsidRPr="00597743">
        <w:rPr>
          <w:szCs w:val="24"/>
        </w:rPr>
        <w:t>Honorable Julie Foster Hagan</w:t>
      </w:r>
    </w:p>
    <w:p w14:paraId="49192794" w14:textId="77777777" w:rsidR="00D21F29" w:rsidRPr="00597743" w:rsidRDefault="00D21F29" w:rsidP="00D21F29">
      <w:pPr>
        <w:spacing w:before="0"/>
        <w:rPr>
          <w:szCs w:val="24"/>
        </w:rPr>
      </w:pPr>
      <w:r w:rsidRPr="00597743">
        <w:rPr>
          <w:szCs w:val="24"/>
        </w:rPr>
        <w:t>Assistant Secretary</w:t>
      </w:r>
    </w:p>
    <w:p w14:paraId="65103167" w14:textId="77777777" w:rsidR="00D21F29" w:rsidRPr="00597743" w:rsidRDefault="00D21F29" w:rsidP="00D21F29">
      <w:pPr>
        <w:spacing w:before="0"/>
        <w:rPr>
          <w:szCs w:val="24"/>
        </w:rPr>
      </w:pPr>
      <w:r w:rsidRPr="00597743">
        <w:rPr>
          <w:szCs w:val="24"/>
        </w:rPr>
        <w:t>Louisiana Department of Health</w:t>
      </w:r>
    </w:p>
    <w:p w14:paraId="3944380D" w14:textId="77777777" w:rsidR="00D21F29" w:rsidRPr="00597743" w:rsidRDefault="00D21F29" w:rsidP="00D21F29">
      <w:pPr>
        <w:spacing w:before="0"/>
        <w:rPr>
          <w:szCs w:val="24"/>
        </w:rPr>
      </w:pPr>
      <w:r w:rsidRPr="00597743">
        <w:rPr>
          <w:szCs w:val="24"/>
        </w:rPr>
        <w:t>628 North 4th Street</w:t>
      </w:r>
    </w:p>
    <w:p w14:paraId="09271953" w14:textId="77777777" w:rsidR="00D21F29" w:rsidRPr="00597743" w:rsidRDefault="00D21F29" w:rsidP="00D21F29">
      <w:pPr>
        <w:spacing w:before="0"/>
        <w:rPr>
          <w:szCs w:val="24"/>
        </w:rPr>
      </w:pPr>
      <w:r w:rsidRPr="00597743">
        <w:rPr>
          <w:szCs w:val="24"/>
        </w:rPr>
        <w:t>Baton Rouge, LA 70802</w:t>
      </w:r>
    </w:p>
    <w:p w14:paraId="2F6AE940" w14:textId="77777777" w:rsidR="00AF4ABD" w:rsidRPr="00EC51AB" w:rsidRDefault="00AF4ABD" w:rsidP="00D21F29">
      <w:pPr>
        <w:spacing w:before="0"/>
        <w:rPr>
          <w:szCs w:val="24"/>
          <w:highlight w:val="yellow"/>
        </w:rPr>
      </w:pPr>
    </w:p>
    <w:p w14:paraId="65BC8656" w14:textId="4710254C" w:rsidR="00D21F29" w:rsidRPr="00597743" w:rsidRDefault="00D21F29" w:rsidP="00D21F29">
      <w:pPr>
        <w:rPr>
          <w:szCs w:val="24"/>
        </w:rPr>
      </w:pPr>
      <w:r w:rsidRPr="00597743">
        <w:rPr>
          <w:szCs w:val="24"/>
        </w:rPr>
        <w:t>Dear Assistant Secretary Hagan:</w:t>
      </w:r>
    </w:p>
    <w:p w14:paraId="0C7A7400" w14:textId="77777777" w:rsidR="00D21F29" w:rsidRPr="00CE7212" w:rsidRDefault="00D21F29" w:rsidP="00D21F29">
      <w:pPr>
        <w:spacing w:before="0" w:after="0"/>
        <w:rPr>
          <w:rStyle w:val="ui-provider"/>
        </w:rPr>
      </w:pPr>
    </w:p>
    <w:p w14:paraId="13675A5B" w14:textId="6C3F0093" w:rsidR="00D21F29" w:rsidRPr="00597743" w:rsidRDefault="00D21F29" w:rsidP="00D21F29">
      <w:pPr>
        <w:rPr>
          <w:kern w:val="24"/>
        </w:rPr>
      </w:pPr>
      <w:r w:rsidRPr="00597743">
        <w:t>I am writing to advise you of the U.S. Department of Education’s (Department) 202</w:t>
      </w:r>
      <w:r w:rsidR="003E628F">
        <w:t>5</w:t>
      </w:r>
      <w:r w:rsidRPr="00597743">
        <w:t xml:space="preserve"> determination under Sections 616 and 642 of the Individuals with Disabilities Education Act (IDEA). The Department has determined that Louisiana meets the requirements and purposes of Part C of the IDEA. This determination is based on the totality of </w:t>
      </w:r>
      <w:r w:rsidRPr="006264F6">
        <w:t>Louisiana's</w:t>
      </w:r>
      <w:r w:rsidRPr="00597743">
        <w:t xml:space="preserve"> data and information, including the Federal fiscal year (FFY) 202</w:t>
      </w:r>
      <w:r w:rsidR="003E628F">
        <w:t>3</w:t>
      </w:r>
      <w:r w:rsidRPr="00597743">
        <w:t xml:space="preserve"> State Performance Plan/Annual Performance Report (SPP/APR), other State-reported data, and other publicly available information.</w:t>
      </w:r>
    </w:p>
    <w:p w14:paraId="559F9BD4" w14:textId="10744340" w:rsidR="00D21F29" w:rsidRPr="00CE7212" w:rsidRDefault="00D21F29" w:rsidP="00D21F29">
      <w:r w:rsidRPr="006264F6">
        <w:t>Louisiana's</w:t>
      </w:r>
      <w:r w:rsidRPr="00597743">
        <w:t xml:space="preserve"> 202</w:t>
      </w:r>
      <w:r w:rsidR="003E628F">
        <w:t>5</w:t>
      </w:r>
      <w:r w:rsidRPr="00597743">
        <w:t xml:space="preserve"> determination is based on the data reflected in </w:t>
      </w:r>
      <w:r w:rsidRPr="006264F6">
        <w:t>Louisiana's</w:t>
      </w:r>
      <w:r w:rsidRPr="006264F6" w:rsidDel="006264F6">
        <w:t xml:space="preserve"> </w:t>
      </w:r>
      <w:r w:rsidRPr="00597743">
        <w:t>“202</w:t>
      </w:r>
      <w:r w:rsidR="003E628F">
        <w:t>5</w:t>
      </w:r>
      <w:r w:rsidRPr="00597743">
        <w:t xml:space="preserve"> Part C Results-Driven Accountability Matrix” (RDA Matrix). </w:t>
      </w:r>
      <w:r w:rsidRPr="00CE7212">
        <w:t xml:space="preserve">The RDA Matrix is individualized for </w:t>
      </w:r>
      <w:r w:rsidRPr="00597743">
        <w:t>Louisiana</w:t>
      </w:r>
      <w:r w:rsidRPr="00CE7212">
        <w:t xml:space="preserve"> and consists of: </w:t>
      </w:r>
    </w:p>
    <w:p w14:paraId="6729F831" w14:textId="77777777" w:rsidR="00D21F29" w:rsidRPr="00CE7212" w:rsidRDefault="00D21F29" w:rsidP="00D21F29">
      <w:pPr>
        <w:numPr>
          <w:ilvl w:val="0"/>
          <w:numId w:val="21"/>
        </w:numPr>
        <w:spacing w:before="120" w:after="0"/>
        <w:rPr>
          <w:szCs w:val="24"/>
        </w:rPr>
      </w:pPr>
      <w:r w:rsidRPr="00CE7212">
        <w:rPr>
          <w:szCs w:val="24"/>
        </w:rPr>
        <w:t>a Compliance Matrix that includes scoring on Compliance Indicators and other compliance factors;</w:t>
      </w:r>
    </w:p>
    <w:p w14:paraId="50236A62" w14:textId="323AB9F6" w:rsidR="00D21F29" w:rsidRPr="00CE7212" w:rsidRDefault="002D76D6" w:rsidP="00D21F29">
      <w:pPr>
        <w:numPr>
          <w:ilvl w:val="0"/>
          <w:numId w:val="21"/>
        </w:numPr>
        <w:spacing w:before="120" w:after="0"/>
        <w:rPr>
          <w:szCs w:val="24"/>
        </w:rPr>
      </w:pPr>
      <w:r>
        <w:rPr>
          <w:szCs w:val="24"/>
        </w:rPr>
        <w:t>a Results Matrix (including Components and Appendices) that include scoring on Results Elements;</w:t>
      </w:r>
    </w:p>
    <w:p w14:paraId="79B511BB" w14:textId="77777777" w:rsidR="00D21F29" w:rsidRPr="00CE7212" w:rsidRDefault="00D21F29" w:rsidP="00D21F29">
      <w:pPr>
        <w:numPr>
          <w:ilvl w:val="0"/>
          <w:numId w:val="21"/>
        </w:numPr>
        <w:spacing w:before="120" w:after="0"/>
        <w:rPr>
          <w:szCs w:val="24"/>
        </w:rPr>
      </w:pPr>
      <w:r w:rsidRPr="00CE7212">
        <w:rPr>
          <w:szCs w:val="24"/>
        </w:rPr>
        <w:t>a Compliance Score and a Results Score;</w:t>
      </w:r>
    </w:p>
    <w:p w14:paraId="327634DC" w14:textId="77777777" w:rsidR="00D21F29" w:rsidRPr="00CE7212" w:rsidRDefault="00D21F29" w:rsidP="00D21F29">
      <w:pPr>
        <w:numPr>
          <w:ilvl w:val="0"/>
          <w:numId w:val="21"/>
        </w:numPr>
        <w:spacing w:before="120" w:after="0"/>
        <w:rPr>
          <w:szCs w:val="24"/>
        </w:rPr>
      </w:pPr>
      <w:r w:rsidRPr="00CE7212">
        <w:rPr>
          <w:szCs w:val="24"/>
        </w:rPr>
        <w:t>an RDA Percentage based on both the Compliance Score and the Results Score; and</w:t>
      </w:r>
    </w:p>
    <w:p w14:paraId="7BD6B48F" w14:textId="77777777" w:rsidR="00D21F29" w:rsidRPr="00CE7212" w:rsidRDefault="00D21F29" w:rsidP="00D21F29">
      <w:pPr>
        <w:numPr>
          <w:ilvl w:val="0"/>
          <w:numId w:val="21"/>
        </w:numPr>
        <w:spacing w:before="120" w:after="0"/>
        <w:rPr>
          <w:szCs w:val="24"/>
        </w:rPr>
      </w:pPr>
      <w:r w:rsidRPr="006264F6">
        <w:t>Louisiana's</w:t>
      </w:r>
      <w:r w:rsidRPr="00CE7212">
        <w:rPr>
          <w:szCs w:val="24"/>
        </w:rPr>
        <w:t xml:space="preserve"> Determination. </w:t>
      </w:r>
    </w:p>
    <w:p w14:paraId="76D9CD94" w14:textId="5744AC84" w:rsidR="00D21F29" w:rsidRPr="00597743" w:rsidRDefault="00D21F29" w:rsidP="00D21F29">
      <w:pPr>
        <w:rPr>
          <w:kern w:val="24"/>
        </w:rPr>
      </w:pPr>
      <w:r w:rsidRPr="00CE7212">
        <w:t>The RDA Matrix is further explained in a</w:t>
      </w:r>
      <w:r w:rsidRPr="00597743">
        <w:t xml:space="preserve"> document, entitled “</w:t>
      </w:r>
      <w:hyperlink r:id="rId18" w:history="1">
        <w:r w:rsidRPr="00CE7212">
          <w:rPr>
            <w:rStyle w:val="Hyperlink"/>
            <w:color w:val="auto"/>
          </w:rPr>
          <w:t>How the Department Made Determinations under Sections 616(d) and 642 of the Individuals with Disabilities Education Act in 202</w:t>
        </w:r>
        <w:r w:rsidR="003E628F">
          <w:rPr>
            <w:rStyle w:val="Hyperlink"/>
            <w:color w:val="auto"/>
          </w:rPr>
          <w:t>5</w:t>
        </w:r>
        <w:r w:rsidRPr="00CE7212">
          <w:rPr>
            <w:rStyle w:val="Hyperlink"/>
            <w:color w:val="auto"/>
          </w:rPr>
          <w:t>: Part C</w:t>
        </w:r>
      </w:hyperlink>
      <w:r w:rsidRPr="00597743">
        <w:t>” (HTDMD</w:t>
      </w:r>
      <w:r w:rsidR="002D76D6">
        <w:t>-C</w:t>
      </w:r>
      <w:r w:rsidRPr="00597743">
        <w:t>).</w:t>
      </w:r>
    </w:p>
    <w:p w14:paraId="0D6E5874" w14:textId="5D441B7A" w:rsidR="00DE3712" w:rsidRDefault="00D21F29" w:rsidP="00D21F29">
      <w:r w:rsidRPr="00597743">
        <w:t>The Office of Special Education Programs (OSEP) is continuing to use both results data and compliance data in making the Department’s determinations in 202</w:t>
      </w:r>
      <w:r w:rsidR="003E628F">
        <w:t>5</w:t>
      </w:r>
      <w:r w:rsidRPr="00597743">
        <w:t>, as it did for Part C determinations in 201</w:t>
      </w:r>
      <w:r w:rsidR="003E628F">
        <w:t>6</w:t>
      </w:r>
      <w:r w:rsidRPr="00597743">
        <w:t>-202</w:t>
      </w:r>
      <w:r w:rsidR="003E628F">
        <w:t>4</w:t>
      </w:r>
      <w:r w:rsidRPr="00597743">
        <w:t>. (The specifics of the determination procedures and criteria are set forth in the HTDMD</w:t>
      </w:r>
      <w:r w:rsidR="002D76D6">
        <w:t>-C</w:t>
      </w:r>
      <w:r w:rsidRPr="00597743">
        <w:t xml:space="preserve"> document and reflected in the RDA Matrix for Louisiana.) </w:t>
      </w:r>
      <w:r w:rsidR="00557BFA" w:rsidRPr="00597743">
        <w:t>For the 2025 IDEA Part C determinations, OSEP also considered performance on timely correction of noncompliance requirements in Indicator 12. While the State’s performance on timely correction of noncompliance was a factor in each State or Entity’s 2025 Part C Compliance Matrix, no State or Entity received a Needs Intervention determination in 2025 due solely to this criterion. However, this criterion will be fully incorporated beginning with the 2026 determinations.</w:t>
      </w:r>
      <w:r w:rsidR="00557BFA">
        <w:t xml:space="preserve"> </w:t>
      </w:r>
      <w:r w:rsidRPr="00597743">
        <w:t>For 202</w:t>
      </w:r>
      <w:r w:rsidR="003E628F">
        <w:t>5</w:t>
      </w:r>
      <w:r w:rsidRPr="00597743">
        <w:t xml:space="preserve">, the Department’s IDEA Part C determinations continue to include consideration of each State’s Child Outcomes data, which measure how children who receive Part C services are improving functioning in three outcome areas that are critical to school readiness: </w:t>
      </w:r>
    </w:p>
    <w:p w14:paraId="65829D83" w14:textId="77777777" w:rsidR="00DE3712" w:rsidRDefault="00DE3712" w:rsidP="00D21F29">
      <w:pPr>
        <w:sectPr w:rsidR="00DE3712" w:rsidSect="008E3E24">
          <w:headerReference w:type="default" r:id="rId19"/>
          <w:footerReference w:type="default" r:id="rId20"/>
          <w:type w:val="continuous"/>
          <w:pgSz w:w="12240" w:h="15840" w:code="1"/>
          <w:pgMar w:top="720" w:right="720" w:bottom="720" w:left="720" w:header="0" w:footer="446" w:gutter="0"/>
          <w:cols w:space="720"/>
          <w:docGrid w:linePitch="218"/>
        </w:sectPr>
      </w:pPr>
    </w:p>
    <w:p w14:paraId="3E58DCFB" w14:textId="77777777" w:rsidR="00D21F29" w:rsidRPr="00CE7212" w:rsidRDefault="00D21F29" w:rsidP="00D21F29">
      <w:pPr>
        <w:numPr>
          <w:ilvl w:val="0"/>
          <w:numId w:val="22"/>
        </w:numPr>
        <w:spacing w:before="120" w:after="0"/>
        <w:rPr>
          <w:szCs w:val="24"/>
        </w:rPr>
      </w:pPr>
      <w:r w:rsidRPr="00CE7212">
        <w:rPr>
          <w:szCs w:val="24"/>
        </w:rPr>
        <w:t xml:space="preserve">positive social-emotional skills; </w:t>
      </w:r>
    </w:p>
    <w:p w14:paraId="722265A4" w14:textId="53B7A439" w:rsidR="00D21F29" w:rsidRPr="00CE7212" w:rsidRDefault="00D21F29" w:rsidP="00D21F29">
      <w:pPr>
        <w:numPr>
          <w:ilvl w:val="0"/>
          <w:numId w:val="22"/>
        </w:numPr>
        <w:spacing w:before="120" w:after="0"/>
        <w:rPr>
          <w:spacing w:val="-2"/>
          <w:szCs w:val="24"/>
        </w:rPr>
      </w:pPr>
      <w:r w:rsidRPr="00CE7212">
        <w:rPr>
          <w:spacing w:val="-2"/>
          <w:szCs w:val="24"/>
        </w:rPr>
        <w:t xml:space="preserve">acquisition and use of knowledge and skills (including early language/communication); and </w:t>
      </w:r>
    </w:p>
    <w:p w14:paraId="2CA24A54" w14:textId="77777777" w:rsidR="00D21F29" w:rsidRPr="00597743" w:rsidRDefault="00D21F29" w:rsidP="00D21F29">
      <w:pPr>
        <w:numPr>
          <w:ilvl w:val="0"/>
          <w:numId w:val="22"/>
        </w:numPr>
        <w:spacing w:before="120" w:after="0"/>
        <w:rPr>
          <w:szCs w:val="24"/>
        </w:rPr>
      </w:pPr>
      <w:r w:rsidRPr="00CE7212">
        <w:rPr>
          <w:szCs w:val="24"/>
        </w:rPr>
        <w:t xml:space="preserve">use of appropriate behaviors to meet their needs. </w:t>
      </w:r>
    </w:p>
    <w:p w14:paraId="4EAE3135" w14:textId="3E1569B4" w:rsidR="002D76D6" w:rsidRPr="00597743" w:rsidRDefault="00D21F29" w:rsidP="00DE3712">
      <w:pPr>
        <w:rPr>
          <w:szCs w:val="24"/>
        </w:rPr>
      </w:pPr>
      <w:r w:rsidRPr="00597743">
        <w:t>Specifically, the Department considered the data quality</w:t>
      </w:r>
      <w:r w:rsidR="00763F1C">
        <w:t>,</w:t>
      </w:r>
      <w:r w:rsidRPr="00597743">
        <w:t xml:space="preserve"> and the child performance levels in each State’s Child Outcomes FFY 202</w:t>
      </w:r>
      <w:r w:rsidR="002D76D6">
        <w:t>3</w:t>
      </w:r>
      <w:r w:rsidRPr="00597743">
        <w:rPr>
          <w:szCs w:val="24"/>
        </w:rPr>
        <w:t xml:space="preserve"> </w:t>
      </w:r>
      <w:r w:rsidRPr="00597743">
        <w:t>data</w:t>
      </w:r>
      <w:r w:rsidRPr="00CE7212">
        <w:t xml:space="preserve">. </w:t>
      </w:r>
      <w:r w:rsidR="002D76D6" w:rsidRPr="00597743">
        <w:rPr>
          <w:szCs w:val="24"/>
        </w:rPr>
        <w:t xml:space="preserve">You may access the results of OSEP’s review of </w:t>
      </w:r>
      <w:r w:rsidR="00BE4F11" w:rsidRPr="006264F6">
        <w:t>Louisiana's</w:t>
      </w:r>
      <w:r w:rsidR="00BE4F11" w:rsidRPr="00597743">
        <w:t xml:space="preserve"> </w:t>
      </w:r>
      <w:r w:rsidR="002D76D6" w:rsidRPr="00597743">
        <w:rPr>
          <w:szCs w:val="24"/>
        </w:rPr>
        <w:t>SPP/APR and other relevant data by accessing the EMAPS SPP/APR reporting tool using your State-specific log-on information at</w:t>
      </w:r>
      <w:r w:rsidR="002D76D6" w:rsidRPr="00597743">
        <w:t xml:space="preserve"> </w:t>
      </w:r>
      <w:hyperlink r:id="rId21" w:tooltip="EMAPS SPP/APR reporting tool" w:history="1">
        <w:r w:rsidR="002D76D6" w:rsidRPr="00CE7212">
          <w:rPr>
            <w:rStyle w:val="Hyperlink"/>
            <w:color w:val="auto"/>
            <w:szCs w:val="24"/>
          </w:rPr>
          <w:t>https://emaps.ed.gov/suite/</w:t>
        </w:r>
      </w:hyperlink>
      <w:r w:rsidR="002D76D6" w:rsidRPr="00597743">
        <w:rPr>
          <w:szCs w:val="24"/>
        </w:rPr>
        <w:t xml:space="preserve">. When you access </w:t>
      </w:r>
      <w:r w:rsidR="002D76D6" w:rsidRPr="006264F6">
        <w:t>Louisiana's</w:t>
      </w:r>
      <w:r w:rsidR="002D76D6" w:rsidRPr="00597743">
        <w:rPr>
          <w:szCs w:val="24"/>
        </w:rPr>
        <w:t xml:space="preserve"> SPP/APR on the site, you will find, in Indicators 1 through 1</w:t>
      </w:r>
      <w:r w:rsidR="00557BFA">
        <w:rPr>
          <w:szCs w:val="24"/>
        </w:rPr>
        <w:t>2</w:t>
      </w:r>
      <w:r w:rsidR="002D76D6" w:rsidRPr="00597743">
        <w:rPr>
          <w:szCs w:val="24"/>
        </w:rPr>
        <w:t xml:space="preserve">, the OSEP Response to the indicator and any actions that </w:t>
      </w:r>
      <w:r w:rsidR="002D76D6" w:rsidRPr="00597743">
        <w:t>Louisiana</w:t>
      </w:r>
      <w:r w:rsidR="002D76D6" w:rsidRPr="00597743">
        <w:rPr>
          <w:szCs w:val="24"/>
        </w:rPr>
        <w:t xml:space="preserve"> is required to take. The actions that </w:t>
      </w:r>
      <w:r w:rsidR="002D76D6" w:rsidRPr="00597743">
        <w:t>Louisiana</w:t>
      </w:r>
      <w:r w:rsidR="002D76D6" w:rsidRPr="00597743">
        <w:rPr>
          <w:szCs w:val="24"/>
        </w:rPr>
        <w:t xml:space="preserve"> is required to take are in the “Required Actions” section of the indicator.</w:t>
      </w:r>
    </w:p>
    <w:p w14:paraId="0BA29A6B" w14:textId="77777777" w:rsidR="002D76D6" w:rsidRPr="00597743" w:rsidRDefault="002D76D6" w:rsidP="002D76D6">
      <w:pPr>
        <w:rPr>
          <w:szCs w:val="24"/>
        </w:rPr>
      </w:pPr>
      <w:r w:rsidRPr="00597743">
        <w:rPr>
          <w:szCs w:val="24"/>
        </w:rPr>
        <w:t xml:space="preserve">It is important for your State to review the Introduction to the SPP/APR, which may also include language in the “OSEP Response” and/or “Required Actions” sections. </w:t>
      </w:r>
    </w:p>
    <w:p w14:paraId="780ABE61" w14:textId="77777777" w:rsidR="002D76D6" w:rsidRPr="00597743" w:rsidRDefault="002D76D6" w:rsidP="002D76D6">
      <w:pPr>
        <w:keepNext/>
        <w:rPr>
          <w:szCs w:val="24"/>
        </w:rPr>
      </w:pPr>
      <w:r w:rsidRPr="00597743">
        <w:rPr>
          <w:szCs w:val="24"/>
        </w:rPr>
        <w:t xml:space="preserve">Your State will also find the following important documents in the Determinations Enclosures section: </w:t>
      </w:r>
    </w:p>
    <w:p w14:paraId="682B8092" w14:textId="77777777" w:rsidR="00D21F29" w:rsidRPr="00597743" w:rsidRDefault="00D21F29" w:rsidP="00D21F29">
      <w:pPr>
        <w:keepNext/>
        <w:numPr>
          <w:ilvl w:val="0"/>
          <w:numId w:val="23"/>
        </w:numPr>
        <w:spacing w:before="120" w:after="0"/>
        <w:rPr>
          <w:szCs w:val="24"/>
        </w:rPr>
      </w:pPr>
      <w:r w:rsidRPr="006264F6">
        <w:t>Louisiana's</w:t>
      </w:r>
      <w:r>
        <w:t xml:space="preserve"> </w:t>
      </w:r>
      <w:r w:rsidRPr="00597743">
        <w:rPr>
          <w:szCs w:val="24"/>
        </w:rPr>
        <w:t xml:space="preserve">RDA Matrix; </w:t>
      </w:r>
    </w:p>
    <w:p w14:paraId="67F05A0C" w14:textId="6C9EB70C" w:rsidR="00D21F29" w:rsidRPr="00597743" w:rsidRDefault="00D21F29" w:rsidP="00D21F29">
      <w:pPr>
        <w:numPr>
          <w:ilvl w:val="0"/>
          <w:numId w:val="23"/>
        </w:numPr>
        <w:spacing w:before="120" w:after="0"/>
        <w:rPr>
          <w:szCs w:val="24"/>
        </w:rPr>
      </w:pPr>
      <w:r w:rsidRPr="00597743">
        <w:rPr>
          <w:szCs w:val="24"/>
        </w:rPr>
        <w:t xml:space="preserve">the HTDMD link; </w:t>
      </w:r>
    </w:p>
    <w:p w14:paraId="6C7F4DED" w14:textId="1FE126E5" w:rsidR="00C172FF" w:rsidRPr="00597743" w:rsidRDefault="00C172FF" w:rsidP="00C172FF">
      <w:pPr>
        <w:numPr>
          <w:ilvl w:val="0"/>
          <w:numId w:val="23"/>
        </w:numPr>
        <w:spacing w:before="120" w:after="0"/>
        <w:rPr>
          <w:kern w:val="24"/>
        </w:rPr>
      </w:pPr>
      <w:r w:rsidRPr="00597743">
        <w:t>“202</w:t>
      </w:r>
      <w:r>
        <w:t>5</w:t>
      </w:r>
      <w:r w:rsidRPr="00597743">
        <w:rPr>
          <w:szCs w:val="24"/>
        </w:rPr>
        <w:t xml:space="preserve"> </w:t>
      </w:r>
      <w:r w:rsidRPr="00597743">
        <w:t>Data Rubric Part C,” which shows how OSEP calculated the State’s</w:t>
      </w:r>
      <w:r w:rsidRPr="00597743">
        <w:rPr>
          <w:szCs w:val="24"/>
        </w:rPr>
        <w:t xml:space="preserve"> </w:t>
      </w:r>
      <w:r w:rsidRPr="00597743">
        <w:t>“Timely and Accurate State-Reported Data</w:t>
      </w:r>
      <w:r w:rsidRPr="00597743">
        <w:rPr>
          <w:szCs w:val="24"/>
        </w:rPr>
        <w:t>”</w:t>
      </w:r>
      <w:r w:rsidRPr="00597743">
        <w:t xml:space="preserve"> score in the Compliance Matrix; and</w:t>
      </w:r>
    </w:p>
    <w:p w14:paraId="6ADD5C8E" w14:textId="15CC4091" w:rsidR="00C172FF" w:rsidRPr="00597743" w:rsidRDefault="00C172FF" w:rsidP="00C172FF">
      <w:pPr>
        <w:numPr>
          <w:ilvl w:val="0"/>
          <w:numId w:val="23"/>
        </w:numPr>
        <w:spacing w:before="120" w:after="0"/>
        <w:rPr>
          <w:szCs w:val="24"/>
        </w:rPr>
      </w:pPr>
      <w:r w:rsidRPr="00597743">
        <w:rPr>
          <w:szCs w:val="24"/>
        </w:rPr>
        <w:lastRenderedPageBreak/>
        <w:t xml:space="preserve">“Dispute Resolution 2023-2024,” which includes the IDEA Section 618 data that OSEP used to calculate the State’s “Timely State Complaint Decisions” and “Timely Due Process Hearing Decisions” scores in the Compliance Matrix. </w:t>
      </w:r>
    </w:p>
    <w:p w14:paraId="4D22E0E4" w14:textId="627B1855" w:rsidR="00D21F29" w:rsidRPr="00597743" w:rsidRDefault="00D21F29" w:rsidP="00D21F29">
      <w:r w:rsidRPr="00CE7212">
        <w:t xml:space="preserve">As noted above, </w:t>
      </w:r>
      <w:r w:rsidRPr="006264F6">
        <w:t>Louisiana's</w:t>
      </w:r>
      <w:r w:rsidRPr="00CE7212">
        <w:t xml:space="preserve"> 202</w:t>
      </w:r>
      <w:r w:rsidR="003E628F">
        <w:t>5</w:t>
      </w:r>
      <w:r w:rsidRPr="00CE7212">
        <w:t xml:space="preserve"> determination is Meets Requirements. A State’s 202</w:t>
      </w:r>
      <w:r w:rsidR="003E628F">
        <w:t>5</w:t>
      </w:r>
      <w:r w:rsidRPr="00CE7212">
        <w:t xml:space="preserve"> RDA Determination is Meets Requirements if the RDA Percentage is at least 80%, unless the Department </w:t>
      </w:r>
      <w:r w:rsidRPr="00597743">
        <w:t>has imposed Specific Conditions on the State’s last three</w:t>
      </w:r>
      <w:r w:rsidRPr="00597743">
        <w:rPr>
          <w:szCs w:val="24"/>
        </w:rPr>
        <w:t xml:space="preserve"> </w:t>
      </w:r>
      <w:r w:rsidRPr="00597743">
        <w:t>IDEA Part C grant awards (for FFYs 202</w:t>
      </w:r>
      <w:r w:rsidR="003E628F">
        <w:t>2</w:t>
      </w:r>
      <w:r w:rsidRPr="00597743">
        <w:rPr>
          <w:szCs w:val="24"/>
        </w:rPr>
        <w:t xml:space="preserve">, </w:t>
      </w:r>
      <w:r w:rsidRPr="00597743">
        <w:t>202</w:t>
      </w:r>
      <w:r w:rsidR="003E628F">
        <w:t>3</w:t>
      </w:r>
      <w:r w:rsidRPr="00597743">
        <w:rPr>
          <w:szCs w:val="24"/>
        </w:rPr>
        <w:t xml:space="preserve">, </w:t>
      </w:r>
      <w:r w:rsidRPr="00597743">
        <w:t>and 202</w:t>
      </w:r>
      <w:r w:rsidR="003E628F">
        <w:t>4</w:t>
      </w:r>
      <w:r w:rsidRPr="00597743">
        <w:rPr>
          <w:szCs w:val="24"/>
        </w:rPr>
        <w:t>)</w:t>
      </w:r>
      <w:r w:rsidRPr="00597743">
        <w:t>, and those Specific Conditions are in effect at the time of the 202</w:t>
      </w:r>
      <w:r w:rsidR="003E628F">
        <w:t>5</w:t>
      </w:r>
      <w:r w:rsidRPr="00597743">
        <w:rPr>
          <w:szCs w:val="24"/>
        </w:rPr>
        <w:t xml:space="preserve"> </w:t>
      </w:r>
      <w:r w:rsidRPr="00597743">
        <w:t>determination.</w:t>
      </w:r>
    </w:p>
    <w:p w14:paraId="49F4902E" w14:textId="77777777" w:rsidR="00C172FF" w:rsidRDefault="00C172FF" w:rsidP="00C172FF">
      <w:r w:rsidRPr="00597743">
        <w:t>The Secretary is considering modifying the factors the Department will use in making its determinations in June 2026 and beyond, as part of the Administration’s priority to empower States in taking the lead in developing and implementing policies that best serve children with disabilities, and empowering parents with school choice options. As we consider changes to data collection and how we use the data reported to the Department in making annual IDEA determinations, OSEP will provide parents, States, entities, and other stakeholders with an opportunity to comment and provide input through a variety of mechanisms.</w:t>
      </w:r>
    </w:p>
    <w:p w14:paraId="4C63F6A5" w14:textId="77777777" w:rsidR="00C172FF" w:rsidRDefault="00C172FF" w:rsidP="00C172FF">
      <w:r w:rsidRPr="00597743">
        <w:t>For the FFY 2024 SPP/APR submission due on February 1, 2026, OSEP is providing the following information about the IDEA Section 618 data. The 2024-25 IDEA Section 618 Part C data submitted as of the due date will be used for the FFY 2024 SPP/APR and the 2026 IDEA Part C Results Matrix and data submitted during correction opportunities will not be used for these purposes. States will not be able to resubmit their IDEA Section 618 data after the due date. The 2024-25 IDEA Section 618 Part C data that States submit will automatically be prepopulated in the SPP/APR reporting platform for Part C SPP/APR Indicators 2, 5, 6, 9, and 10 (as they have in the past). Under EDFacts Modernization, States are expected to submit high-quality IDEA Section 618 Part C data that can be published and used by the Department as of the due date. States are expected to conduct data quality reviews prior to the applicable due date. OSEP expects States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States will be unable to submit the IDEA Section 618 Part C data without taking one of these two actions. There will not be a resubmission period for the IDEA Section 618 Part C data.</w:t>
      </w:r>
    </w:p>
    <w:p w14:paraId="07000A94" w14:textId="01B9725E" w:rsidR="00C172FF" w:rsidRPr="00597743" w:rsidRDefault="00C172FF" w:rsidP="00C172FF">
      <w:r w:rsidRPr="00597743">
        <w:t xml:space="preserve">As a reminder, Louisiana must report annually to the public, by posting on the State lead agency’s website, on the performance of each early intervention service (EIS) program located in Louisiana on the targets in the SPP/APR as soon as practicable, but no later than 120 days after </w:t>
      </w:r>
      <w:r w:rsidRPr="0061436B">
        <w:t>Louisiana's</w:t>
      </w:r>
      <w:r w:rsidRPr="00597743">
        <w:t xml:space="preserve"> submission of its FFY 202</w:t>
      </w:r>
      <w:r>
        <w:t>3</w:t>
      </w:r>
      <w:r w:rsidRPr="00597743">
        <w:rPr>
          <w:szCs w:val="24"/>
        </w:rPr>
        <w:t xml:space="preserve"> </w:t>
      </w:r>
      <w:r w:rsidRPr="00597743">
        <w:t>SPP/APR.</w:t>
      </w:r>
      <w:r w:rsidRPr="00597743">
        <w:rPr>
          <w:szCs w:val="24"/>
        </w:rPr>
        <w:t xml:space="preserve"> </w:t>
      </w:r>
      <w:r w:rsidRPr="00597743">
        <w:t>In addition, Louisiana</w:t>
      </w:r>
      <w:r w:rsidRPr="00597743">
        <w:rPr>
          <w:szCs w:val="24"/>
        </w:rPr>
        <w:t xml:space="preserve"> must:</w:t>
      </w:r>
    </w:p>
    <w:p w14:paraId="27A276BB" w14:textId="6C93FE83" w:rsidR="00C172FF" w:rsidRPr="00597743" w:rsidRDefault="00C172FF" w:rsidP="00C172FF">
      <w:pPr>
        <w:numPr>
          <w:ilvl w:val="0"/>
          <w:numId w:val="26"/>
        </w:numPr>
        <w:spacing w:before="120" w:after="0"/>
        <w:rPr>
          <w:szCs w:val="24"/>
        </w:rPr>
      </w:pPr>
      <w:r w:rsidRPr="00597743">
        <w:rPr>
          <w:szCs w:val="24"/>
        </w:rPr>
        <w:t xml:space="preserve">review EIS program performance against targets in </w:t>
      </w:r>
      <w:r w:rsidR="00924618" w:rsidRPr="0061436B">
        <w:t>Louisiana's</w:t>
      </w:r>
      <w:r w:rsidR="00924618">
        <w:t xml:space="preserve"> </w:t>
      </w:r>
      <w:r w:rsidRPr="00597743">
        <w:rPr>
          <w:szCs w:val="24"/>
        </w:rPr>
        <w:t>SPP/APR;</w:t>
      </w:r>
      <w:r>
        <w:t xml:space="preserve"> </w:t>
      </w:r>
    </w:p>
    <w:p w14:paraId="1EB1A8CC" w14:textId="77777777" w:rsidR="00C172FF" w:rsidRPr="00597743" w:rsidRDefault="00C172FF" w:rsidP="00C172FF">
      <w:pPr>
        <w:numPr>
          <w:ilvl w:val="0"/>
          <w:numId w:val="26"/>
        </w:numPr>
        <w:spacing w:before="120" w:after="0"/>
        <w:rPr>
          <w:szCs w:val="24"/>
        </w:rPr>
      </w:pPr>
      <w:r w:rsidRPr="00597743">
        <w:rPr>
          <w:szCs w:val="24"/>
        </w:rPr>
        <w:t xml:space="preserve">determine if each EIS program “meets the requirements” of Part C, or “needs assistance,” “needs intervention,” or “needs substantial intervention” in implementing Part C of the IDEA; </w:t>
      </w:r>
    </w:p>
    <w:p w14:paraId="20A54AD1" w14:textId="77777777" w:rsidR="00C172FF" w:rsidRPr="00597743" w:rsidRDefault="00C172FF" w:rsidP="00C172FF">
      <w:pPr>
        <w:numPr>
          <w:ilvl w:val="0"/>
          <w:numId w:val="26"/>
        </w:numPr>
        <w:spacing w:before="120" w:after="0"/>
        <w:rPr>
          <w:szCs w:val="24"/>
        </w:rPr>
      </w:pPr>
      <w:r w:rsidRPr="00597743">
        <w:rPr>
          <w:szCs w:val="24"/>
        </w:rPr>
        <w:t xml:space="preserve">take appropriate enforcement action; and </w:t>
      </w:r>
    </w:p>
    <w:p w14:paraId="0033E9F4" w14:textId="77777777" w:rsidR="00C172FF" w:rsidRPr="00597743" w:rsidRDefault="00C172FF" w:rsidP="00C172FF">
      <w:pPr>
        <w:numPr>
          <w:ilvl w:val="0"/>
          <w:numId w:val="26"/>
        </w:numPr>
        <w:spacing w:before="120" w:after="0"/>
        <w:rPr>
          <w:szCs w:val="24"/>
        </w:rPr>
      </w:pPr>
      <w:r w:rsidRPr="00597743">
        <w:rPr>
          <w:szCs w:val="24"/>
        </w:rPr>
        <w:t xml:space="preserve">inform each EIS program of its determination. </w:t>
      </w:r>
    </w:p>
    <w:p w14:paraId="62A2E7B1" w14:textId="0497E673" w:rsidR="00C172FF" w:rsidRPr="00597743" w:rsidRDefault="00C172FF" w:rsidP="00C172FF">
      <w:pPr>
        <w:keepNext/>
        <w:rPr>
          <w:szCs w:val="24"/>
        </w:rPr>
      </w:pPr>
      <w:r w:rsidRPr="00597743">
        <w:rPr>
          <w:szCs w:val="24"/>
        </w:rPr>
        <w:t xml:space="preserve">Further, </w:t>
      </w:r>
      <w:r w:rsidR="006A65A5" w:rsidRPr="00597743">
        <w:t>Louisiana</w:t>
      </w:r>
      <w:r w:rsidRPr="00597743">
        <w:rPr>
          <w:szCs w:val="24"/>
        </w:rPr>
        <w:t xml:space="preserve"> must make its SPP/APR available to the public by posting it on the State lead agency’s website. Within the upcoming weeks, OSEP will be finalizing a State Profile that:</w:t>
      </w:r>
    </w:p>
    <w:p w14:paraId="1E9F5808" w14:textId="3DBED81A" w:rsidR="00C172FF" w:rsidRPr="00597743" w:rsidRDefault="00C172FF" w:rsidP="00C172FF">
      <w:pPr>
        <w:numPr>
          <w:ilvl w:val="0"/>
          <w:numId w:val="27"/>
        </w:numPr>
        <w:spacing w:before="120" w:after="0"/>
        <w:rPr>
          <w:kern w:val="24"/>
          <w:szCs w:val="24"/>
        </w:rPr>
      </w:pPr>
      <w:r w:rsidRPr="00597743">
        <w:rPr>
          <w:szCs w:val="24"/>
        </w:rPr>
        <w:t xml:space="preserve">includes </w:t>
      </w:r>
      <w:r w:rsidR="00924618" w:rsidRPr="0061436B">
        <w:t>Louisiana's</w:t>
      </w:r>
      <w:r w:rsidRPr="00597743">
        <w:rPr>
          <w:szCs w:val="24"/>
        </w:rPr>
        <w:t xml:space="preserve"> determination letter and SPP/APR, OSEP attachments, and all State attachments that are accessible in accordance with Section 508 of the Rehabilitation Act of 1973; and</w:t>
      </w:r>
    </w:p>
    <w:p w14:paraId="6200EDE4" w14:textId="77777777" w:rsidR="00C172FF" w:rsidRPr="00597743" w:rsidRDefault="00C172FF" w:rsidP="00C172FF">
      <w:pPr>
        <w:numPr>
          <w:ilvl w:val="0"/>
          <w:numId w:val="27"/>
        </w:numPr>
        <w:spacing w:before="120" w:after="0"/>
        <w:rPr>
          <w:szCs w:val="24"/>
        </w:rPr>
      </w:pPr>
      <w:r w:rsidRPr="00597743">
        <w:rPr>
          <w:szCs w:val="24"/>
        </w:rPr>
        <w:t>will be accessible to the public via the ed.gov website.</w:t>
      </w:r>
    </w:p>
    <w:p w14:paraId="7FC37B6A" w14:textId="5C655B45" w:rsidR="00D21F29" w:rsidRPr="00597743" w:rsidRDefault="00C172FF" w:rsidP="00D21F29">
      <w:pPr>
        <w:rPr>
          <w:szCs w:val="24"/>
        </w:rPr>
      </w:pPr>
      <w:r w:rsidRPr="00597743">
        <w:rPr>
          <w:szCs w:val="24"/>
        </w:rPr>
        <w:t xml:space="preserve">OSEP appreciates </w:t>
      </w:r>
      <w:r w:rsidR="00924618" w:rsidRPr="0061436B">
        <w:t>Louisiana's</w:t>
      </w:r>
      <w:r w:rsidR="00924618">
        <w:t xml:space="preserve"> </w:t>
      </w:r>
      <w:r w:rsidRPr="00597743">
        <w:rPr>
          <w:szCs w:val="24"/>
        </w:rPr>
        <w:t xml:space="preserve">efforts to improve results for infants and toddlers with disabilities and their families and looks forward to working with </w:t>
      </w:r>
      <w:r w:rsidR="00924618" w:rsidRPr="00597743">
        <w:t>Louisiana</w:t>
      </w:r>
      <w:r w:rsidRPr="00597743">
        <w:rPr>
          <w:szCs w:val="24"/>
        </w:rPr>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09628C2B" w14:textId="77777777" w:rsidR="00D21F29" w:rsidRPr="00597743" w:rsidRDefault="00D21F29" w:rsidP="00D21F29">
      <w:pPr>
        <w:keepNext/>
        <w:ind w:left="4680"/>
        <w:rPr>
          <w:szCs w:val="24"/>
        </w:rPr>
      </w:pPr>
      <w:r w:rsidRPr="00597743">
        <w:rPr>
          <w:szCs w:val="24"/>
        </w:rPr>
        <w:t>Sincerely,</w:t>
      </w:r>
    </w:p>
    <w:p w14:paraId="24A80E70" w14:textId="376B4D78" w:rsidR="00D21F29" w:rsidRPr="00597743" w:rsidRDefault="004F247D" w:rsidP="00D21F29">
      <w:pPr>
        <w:keepNext/>
        <w:spacing w:before="480"/>
        <w:ind w:left="4680"/>
        <w:rPr>
          <w:szCs w:val="24"/>
        </w:rPr>
      </w:pPr>
      <w:r>
        <w:rPr>
          <w:noProof/>
        </w:rPr>
        <w:drawing>
          <wp:inline distT="0" distB="0" distL="0" distR="0" wp14:anchorId="36D66ECD" wp14:editId="5B6572BB">
            <wp:extent cx="2095500" cy="625475"/>
            <wp:effectExtent l="0" t="0" r="0" b="3175"/>
            <wp:docPr id="784482526" name="Picture 1" descr="David J Cantre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82526" name="Picture 784482526" descr="David J Cantrell signature"/>
                    <pic:cNvPicPr>
                      <a:picLocks noChangeAspect="1"/>
                    </pic:cNvPicPr>
                  </pic:nvPicPr>
                  <pic:blipFill rotWithShape="1">
                    <a:blip r:embed="rId22">
                      <a:extLst>
                        <a:ext uri="{28A0092B-C50C-407E-A947-70E740481C1C}">
                          <a14:useLocalDpi xmlns:a14="http://schemas.microsoft.com/office/drawing/2010/main" val="0"/>
                        </a:ext>
                      </a:extLst>
                    </a:blip>
                    <a:srcRect l="6495"/>
                    <a:stretch/>
                  </pic:blipFill>
                  <pic:spPr bwMode="auto">
                    <a:xfrm>
                      <a:off x="0" y="0"/>
                      <a:ext cx="2095500" cy="625475"/>
                    </a:xfrm>
                    <a:prstGeom prst="rect">
                      <a:avLst/>
                    </a:prstGeom>
                    <a:ln>
                      <a:noFill/>
                    </a:ln>
                    <a:extLst>
                      <a:ext uri="{53640926-AAD7-44D8-BBD7-CCE9431645EC}">
                        <a14:shadowObscured xmlns:a14="http://schemas.microsoft.com/office/drawing/2010/main"/>
                      </a:ext>
                    </a:extLst>
                  </pic:spPr>
                </pic:pic>
              </a:graphicData>
            </a:graphic>
          </wp:inline>
        </w:drawing>
      </w:r>
    </w:p>
    <w:p w14:paraId="5E3E96BB" w14:textId="775AAEC9" w:rsidR="00D21F29" w:rsidRPr="00597743" w:rsidRDefault="004F247D" w:rsidP="00D21F29">
      <w:pPr>
        <w:keepNext/>
        <w:pBdr>
          <w:top w:val="single" w:sz="8" w:space="1" w:color="7F7F7F" w:themeColor="text1" w:themeTint="80"/>
        </w:pBdr>
        <w:spacing w:before="0"/>
        <w:ind w:left="4680"/>
        <w:rPr>
          <w:szCs w:val="24"/>
        </w:rPr>
      </w:pPr>
      <w:r>
        <w:rPr>
          <w:szCs w:val="24"/>
        </w:rPr>
        <w:t>David J. Cantrell</w:t>
      </w:r>
    </w:p>
    <w:p w14:paraId="22297F0B" w14:textId="657FAADB" w:rsidR="00D21F29" w:rsidRPr="00597743" w:rsidRDefault="004F247D" w:rsidP="00D21F29">
      <w:pPr>
        <w:keepNext/>
        <w:spacing w:before="0"/>
        <w:ind w:left="4680"/>
        <w:rPr>
          <w:szCs w:val="24"/>
        </w:rPr>
      </w:pPr>
      <w:r>
        <w:rPr>
          <w:szCs w:val="24"/>
        </w:rPr>
        <w:t xml:space="preserve">Deputy </w:t>
      </w:r>
      <w:r w:rsidR="00D21F29" w:rsidRPr="00597743">
        <w:rPr>
          <w:szCs w:val="24"/>
        </w:rPr>
        <w:t>Director</w:t>
      </w:r>
    </w:p>
    <w:p w14:paraId="2CFB8D2F" w14:textId="77777777" w:rsidR="00D21F29" w:rsidRPr="00597743" w:rsidRDefault="00D21F29" w:rsidP="00D21F29">
      <w:pPr>
        <w:spacing w:before="0"/>
        <w:ind w:left="4680"/>
        <w:rPr>
          <w:szCs w:val="24"/>
        </w:rPr>
      </w:pPr>
      <w:r w:rsidRPr="00597743">
        <w:rPr>
          <w:szCs w:val="24"/>
        </w:rPr>
        <w:t>Office of Special Education Programs</w:t>
      </w:r>
    </w:p>
    <w:p w14:paraId="7BF703CD" w14:textId="2BA9D261" w:rsidR="00D21F29" w:rsidRDefault="00D21F29" w:rsidP="00D21F29">
      <w:pPr>
        <w:rPr>
          <w:szCs w:val="24"/>
        </w:rPr>
      </w:pPr>
      <w:r w:rsidRPr="00597743">
        <w:rPr>
          <w:szCs w:val="24"/>
        </w:rPr>
        <w:t>cc: State Part C Coordinator</w:t>
      </w:r>
    </w:p>
    <w:sectPr w:rsidR="00D21F29" w:rsidSect="00DE3712">
      <w:headerReference w:type="default" r:id="rId23"/>
      <w:footerReference w:type="default" r:id="rId24"/>
      <w:type w:val="continuous"/>
      <w:pgSz w:w="12240" w:h="15840" w:code="1"/>
      <w:pgMar w:top="720" w:right="720" w:bottom="720" w:left="720" w:header="0" w:footer="446"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3EAC" w14:textId="77777777" w:rsidR="00974DC8" w:rsidRDefault="00974DC8" w:rsidP="000802F7">
      <w:pPr>
        <w:spacing w:before="0" w:after="0"/>
      </w:pPr>
      <w:r>
        <w:separator/>
      </w:r>
    </w:p>
  </w:endnote>
  <w:endnote w:type="continuationSeparator" w:id="0">
    <w:p w14:paraId="3A55E896" w14:textId="77777777" w:rsidR="00974DC8" w:rsidRDefault="00974DC8" w:rsidP="000802F7">
      <w:pPr>
        <w:spacing w:before="0" w:after="0"/>
      </w:pPr>
      <w:r>
        <w:continuationSeparator/>
      </w:r>
    </w:p>
  </w:endnote>
  <w:endnote w:type="continuationNotice" w:id="1">
    <w:p w14:paraId="04567AC2" w14:textId="77777777" w:rsidR="00974DC8" w:rsidRDefault="00974D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Bahnschrift SemiBold SemiConden">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7871F03C"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sidR="00A620D4">
              <w:rPr>
                <w:noProof/>
              </w:rPr>
              <w:t>1</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009672B5" w:rsidR="00D614DB" w:rsidRPr="00A20642" w:rsidRDefault="00A20642"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sidR="00A620D4">
              <w:rPr>
                <w:noProof/>
              </w:rPr>
              <w:t>63</w:t>
            </w:r>
            <w:r>
              <w:rPr>
                <w:noProof/>
              </w:rPr>
              <w:fldChar w:fldCharType="end"/>
            </w:r>
            <w:r>
              <w:rPr>
                <w:noProof/>
              </w:rPr>
              <w:ptab w:relativeTo="margin" w:alignment="right" w:leader="none"/>
            </w:r>
            <w:r>
              <w:rPr>
                <w:noProof/>
              </w:rPr>
              <w:t>Part C</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022511"/>
      <w:docPartObj>
        <w:docPartGallery w:val="Page Numbers (Bottom of Page)"/>
        <w:docPartUnique/>
      </w:docPartObj>
    </w:sdtPr>
    <w:sdtEndPr>
      <w:rPr>
        <w:noProof/>
      </w:rPr>
    </w:sdtEndPr>
    <w:sdtContent>
      <w:sdt>
        <w:sdtPr>
          <w:id w:val="-551306300"/>
          <w:docPartObj>
            <w:docPartGallery w:val="Page Numbers (Bottom of Page)"/>
            <w:docPartUnique/>
          </w:docPartObj>
        </w:sdtPr>
        <w:sdtEndPr>
          <w:rPr>
            <w:noProof/>
          </w:rPr>
        </w:sdtEndPr>
        <w:sdtContent>
          <w:p w14:paraId="58601348" w14:textId="77777777" w:rsidR="00B036F5" w:rsidRPr="00E52257" w:rsidRDefault="00B036F5" w:rsidP="00D21F29">
            <w:pPr>
              <w:jc w:val="center"/>
              <w:rPr>
                <w:color w:val="17365D"/>
                <w:sz w:val="18"/>
              </w:rPr>
            </w:pPr>
            <w:r>
              <w:ptab w:relativeTo="margin" w:alignment="left" w:leader="none"/>
            </w:r>
            <w:r>
              <w:ptab w:relativeTo="margin" w:alignment="left" w:leader="none"/>
            </w:r>
            <w:r w:rsidRPr="00E52257">
              <w:rPr>
                <w:color w:val="17365D"/>
                <w:sz w:val="18"/>
              </w:rPr>
              <w:t>400 MARYLAND AVE. S.W., WASHINGTON DC 20202-2600</w:t>
            </w:r>
          </w:p>
          <w:p w14:paraId="78D08BAB" w14:textId="77777777" w:rsidR="00B036F5" w:rsidRPr="00021B5A" w:rsidRDefault="00B036F5" w:rsidP="00D21F29">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fldChar w:fldCharType="separate"/>
            </w:r>
            <w:r w:rsidRPr="00543045">
              <w:rPr>
                <w:rStyle w:val="Hyperlink"/>
                <w:color w:val="17365D"/>
                <w:sz w:val="18"/>
              </w:rPr>
              <w:t>www.ed.gov</w:t>
            </w:r>
          </w:p>
          <w:p w14:paraId="738B0924" w14:textId="77777777" w:rsidR="00B036F5" w:rsidRPr="00D21F29" w:rsidRDefault="00B036F5" w:rsidP="00D21F29">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p w14:paraId="37EAAB2E" w14:textId="77777777" w:rsidR="00B036F5" w:rsidRPr="00A20642" w:rsidRDefault="00B036F5"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05763"/>
      <w:docPartObj>
        <w:docPartGallery w:val="Page Numbers (Bottom of Page)"/>
        <w:docPartUnique/>
      </w:docPartObj>
    </w:sdtPr>
    <w:sdtEndPr>
      <w:rPr>
        <w:noProof/>
      </w:rPr>
    </w:sdtEndPr>
    <w:sdtContent>
      <w:sdt>
        <w:sdtPr>
          <w:id w:val="1890454903"/>
          <w:docPartObj>
            <w:docPartGallery w:val="Page Numbers (Bottom of Page)"/>
            <w:docPartUnique/>
          </w:docPartObj>
        </w:sdtPr>
        <w:sdtEndPr>
          <w:rPr>
            <w:noProof/>
          </w:rPr>
        </w:sdtEndPr>
        <w:sdtContent>
          <w:p w14:paraId="340F7095" w14:textId="77777777" w:rsidR="00764AE7" w:rsidRPr="00E52257" w:rsidRDefault="000B7B9F" w:rsidP="00764AE7">
            <w:pPr>
              <w:jc w:val="center"/>
              <w:rPr>
                <w:color w:val="17365D"/>
                <w:sz w:val="18"/>
              </w:rPr>
            </w:pPr>
            <w:r>
              <w:ptab w:relativeTo="margin" w:alignment="left" w:leader="none"/>
            </w:r>
            <w:bookmarkStart w:id="88" w:name="_Hlk200015649"/>
            <w:r w:rsidR="00764AE7" w:rsidRPr="00764AE7">
              <w:t xml:space="preserve"> </w:t>
            </w:r>
            <w:r w:rsidR="00764AE7">
              <w:ptab w:relativeTo="margin" w:alignment="left" w:leader="none"/>
            </w:r>
            <w:r w:rsidR="00764AE7">
              <w:ptab w:relativeTo="margin" w:alignment="left" w:leader="none"/>
            </w:r>
            <w:r w:rsidR="00764AE7">
              <w:ptab w:relativeTo="margin" w:alignment="left" w:leader="none"/>
            </w:r>
            <w:r w:rsidR="00764AE7">
              <w:ptab w:relativeTo="margin" w:alignment="left" w:leader="none"/>
            </w:r>
            <w:r w:rsidR="00764AE7" w:rsidRPr="00E52257">
              <w:rPr>
                <w:color w:val="17365D"/>
                <w:sz w:val="18"/>
              </w:rPr>
              <w:t>400 MARYLAND AVE. S.W., WASHINGTON DC 20202-2600</w:t>
            </w:r>
          </w:p>
          <w:p w14:paraId="4F5EE22A" w14:textId="77777777" w:rsidR="00764AE7" w:rsidRPr="00021B5A" w:rsidRDefault="00764AE7" w:rsidP="00764AE7">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fldChar w:fldCharType="separate"/>
            </w:r>
            <w:r w:rsidRPr="00543045">
              <w:rPr>
                <w:rStyle w:val="Hyperlink"/>
                <w:color w:val="17365D"/>
                <w:sz w:val="18"/>
              </w:rPr>
              <w:t>www.ed.gov</w:t>
            </w:r>
          </w:p>
          <w:p w14:paraId="06173D87" w14:textId="77777777" w:rsidR="00764AE7" w:rsidRPr="00ED466D" w:rsidRDefault="00764AE7" w:rsidP="00764AE7">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bookmarkEnd w:id="88"/>
          <w:p w14:paraId="2BFD45F9" w14:textId="15F887C7" w:rsidR="00764AE7" w:rsidRDefault="00764AE7" w:rsidP="00EC51AB">
            <w:pPr>
              <w:jc w:val="center"/>
            </w:pPr>
          </w:p>
          <w:p w14:paraId="46C7A7A6" w14:textId="5D733C62" w:rsidR="000B7B9F" w:rsidRPr="00A20642" w:rsidRDefault="000B7B9F" w:rsidP="00EC51AB">
            <w:pPr>
              <w:jc w:val="center"/>
              <w:rPr>
                <w:noProof/>
              </w:rPr>
            </w:pPr>
            <w:r>
              <w:ptab w:relativeTo="margin" w:alignment="left" w:leader="none"/>
            </w:r>
            <w:r>
              <w:fldChar w:fldCharType="begin"/>
            </w:r>
            <w:r>
              <w:instrText xml:space="preserve"> PAGE   \* MERGEFORMAT </w:instrText>
            </w:r>
            <w:r>
              <w:fldChar w:fldCharType="separate"/>
            </w:r>
            <w:r w:rsidR="00A620D4">
              <w:rPr>
                <w:noProof/>
              </w:rPr>
              <w:t>64</w:t>
            </w:r>
            <w:r>
              <w:rPr>
                <w:noProof/>
              </w:rPr>
              <w:fldChar w:fldCharType="end"/>
            </w:r>
            <w:r>
              <w:rPr>
                <w:noProof/>
              </w:rPr>
              <w:ptab w:relativeTo="margin" w:alignment="right" w:leader="none"/>
            </w:r>
            <w:r>
              <w:rPr>
                <w:noProof/>
              </w:rPr>
              <w:t>Part C</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91206"/>
      <w:docPartObj>
        <w:docPartGallery w:val="Page Numbers (Bottom of Page)"/>
        <w:docPartUnique/>
      </w:docPartObj>
    </w:sdtPr>
    <w:sdtEndPr>
      <w:rPr>
        <w:noProof/>
      </w:rPr>
    </w:sdtEndPr>
    <w:sdtContent>
      <w:sdt>
        <w:sdtPr>
          <w:id w:val="1605686203"/>
          <w:docPartObj>
            <w:docPartGallery w:val="Page Numbers (Bottom of Page)"/>
            <w:docPartUnique/>
          </w:docPartObj>
        </w:sdtPr>
        <w:sdtEndPr>
          <w:rPr>
            <w:noProof/>
          </w:rPr>
        </w:sdtEndPr>
        <w:sdtContent>
          <w:p w14:paraId="227FC9EF" w14:textId="799FBBD1" w:rsidR="0082602C" w:rsidRPr="00A20642" w:rsidRDefault="0082602C" w:rsidP="00EC51AB">
            <w:pPr>
              <w:jc w:val="center"/>
              <w:rPr>
                <w:noProof/>
              </w:rPr>
            </w:pPr>
            <w:r>
              <w:ptab w:relativeTo="margin" w:alignment="left" w:leader="none"/>
            </w:r>
            <w:r>
              <w:fldChar w:fldCharType="begin"/>
            </w:r>
            <w:r>
              <w:instrText xml:space="preserve"> PAGE   \* MERGEFORMAT </w:instrText>
            </w:r>
            <w:r>
              <w:fldChar w:fldCharType="separate"/>
            </w:r>
            <w:r w:rsidR="00A620D4">
              <w:rPr>
                <w:noProof/>
              </w:rPr>
              <w:t>65</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3EAA7" w14:textId="77777777" w:rsidR="00974DC8" w:rsidRDefault="00974DC8" w:rsidP="000802F7">
      <w:pPr>
        <w:spacing w:before="0" w:after="0"/>
      </w:pPr>
      <w:r>
        <w:separator/>
      </w:r>
    </w:p>
  </w:footnote>
  <w:footnote w:type="continuationSeparator" w:id="0">
    <w:p w14:paraId="3F6D62B4" w14:textId="77777777" w:rsidR="00974DC8" w:rsidRDefault="00974DC8" w:rsidP="000802F7">
      <w:pPr>
        <w:spacing w:before="0" w:after="0"/>
      </w:pPr>
      <w:r>
        <w:continuationSeparator/>
      </w:r>
    </w:p>
  </w:footnote>
  <w:footnote w:type="continuationNotice" w:id="1">
    <w:p w14:paraId="0E99BC6B" w14:textId="77777777" w:rsidR="00974DC8" w:rsidRDefault="00974DC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085D" w14:textId="77777777" w:rsidR="00B036F5" w:rsidRDefault="00B036F5">
    <w:pPr>
      <w:pStyle w:val="Header"/>
    </w:pPr>
    <w:r>
      <w:rPr>
        <w:noProof/>
      </w:rPr>
      <w:drawing>
        <wp:anchor distT="0" distB="0" distL="114300" distR="114300" simplePos="0" relativeHeight="251658240" behindDoc="0" locked="0" layoutInCell="1" allowOverlap="1" wp14:anchorId="5F8ADAE2" wp14:editId="6CFBF660">
          <wp:simplePos x="0" y="0"/>
          <wp:positionH relativeFrom="column">
            <wp:posOffset>31750</wp:posOffset>
          </wp:positionH>
          <wp:positionV relativeFrom="paragraph">
            <wp:posOffset>121285</wp:posOffset>
          </wp:positionV>
          <wp:extent cx="914400" cy="914400"/>
          <wp:effectExtent l="0" t="0" r="0" b="0"/>
          <wp:wrapSquare wrapText="bothSides"/>
          <wp:docPr id="388336292" name="Picture 388336292"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BD79E" w14:textId="77777777" w:rsidR="00B036F5" w:rsidRPr="00E97278" w:rsidRDefault="00B036F5"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0C2B7762" w14:textId="77777777" w:rsidR="00B036F5" w:rsidRPr="00D21F29" w:rsidRDefault="00B036F5"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p w14:paraId="7A8F99CE" w14:textId="77777777" w:rsidR="00B036F5" w:rsidRDefault="00B036F5" w:rsidP="00D21F29">
    <w:pPr>
      <w:pStyle w:val="Header"/>
      <w:tabs>
        <w:tab w:val="clear" w:pos="4320"/>
        <w:tab w:val="clear" w:pos="8640"/>
        <w:tab w:val="left" w:pos="6190"/>
      </w:tabs>
    </w:pPr>
  </w:p>
  <w:p w14:paraId="720C5E4E" w14:textId="77777777" w:rsidR="00B036F5" w:rsidRDefault="00B036F5" w:rsidP="00D21F29">
    <w:pPr>
      <w:pStyle w:val="Header"/>
      <w:tabs>
        <w:tab w:val="clear" w:pos="4320"/>
        <w:tab w:val="clear" w:pos="8640"/>
        <w:tab w:val="left" w:pos="619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E264" w14:textId="4DAC134A" w:rsidR="000B7B9F" w:rsidRDefault="000B7B9F">
    <w:pPr>
      <w:pStyle w:val="Header"/>
    </w:pPr>
  </w:p>
  <w:p w14:paraId="3D750B28" w14:textId="77777777" w:rsidR="000B7B9F" w:rsidRDefault="000B7B9F" w:rsidP="00D21F29">
    <w:pPr>
      <w:pStyle w:val="Header"/>
      <w:tabs>
        <w:tab w:val="clear" w:pos="4320"/>
        <w:tab w:val="clear" w:pos="8640"/>
        <w:tab w:val="left" w:pos="6190"/>
      </w:tabs>
    </w:pPr>
  </w:p>
  <w:p w14:paraId="04A67439" w14:textId="77777777" w:rsidR="00764AE7" w:rsidRDefault="00764AE7" w:rsidP="00764AE7">
    <w:pPr>
      <w:pStyle w:val="Title"/>
      <w:pBdr>
        <w:top w:val="none" w:sz="0" w:space="0" w:color="auto"/>
        <w:bottom w:val="none" w:sz="0" w:space="0" w:color="auto"/>
      </w:pBdr>
      <w:spacing w:before="0"/>
      <w:rPr>
        <w:rFonts w:ascii="Times New Roman" w:hAnsi="Times New Roman"/>
        <w:sz w:val="28"/>
      </w:rPr>
    </w:pPr>
    <w:bookmarkStart w:id="87" w:name="_Hlk200015403"/>
  </w:p>
  <w:p w14:paraId="00C567CE" w14:textId="77777777" w:rsidR="00764AE7" w:rsidRPr="00E97278" w:rsidRDefault="00764AE7" w:rsidP="00764AE7">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Pr>
        <w:noProof/>
      </w:rPr>
      <w:drawing>
        <wp:anchor distT="0" distB="0" distL="114300" distR="114300" simplePos="0" relativeHeight="251660288" behindDoc="0" locked="0" layoutInCell="1" allowOverlap="1" wp14:anchorId="26D5693B" wp14:editId="6432B4E4">
          <wp:simplePos x="0" y="0"/>
          <wp:positionH relativeFrom="column">
            <wp:posOffset>0</wp:posOffset>
          </wp:positionH>
          <wp:positionV relativeFrom="paragraph">
            <wp:posOffset>-135986</wp:posOffset>
          </wp:positionV>
          <wp:extent cx="914400" cy="914400"/>
          <wp:effectExtent l="0" t="0" r="0" b="0"/>
          <wp:wrapSquare wrapText="bothSides"/>
          <wp:docPr id="2076470576" name="Picture 2076470576"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47573" name="Picture 307047573" descr="U.S.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302C0D0C" w14:textId="77777777" w:rsidR="00764AE7" w:rsidRPr="00E97278" w:rsidRDefault="00764AE7" w:rsidP="00764AE7">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bookmarkEnd w:id="87"/>
  <w:p w14:paraId="4E39C16A" w14:textId="77777777" w:rsidR="000B7B9F" w:rsidRDefault="000B7B9F" w:rsidP="00D21F29">
    <w:pPr>
      <w:pStyle w:val="Header"/>
      <w:tabs>
        <w:tab w:val="clear" w:pos="4320"/>
        <w:tab w:val="clear" w:pos="8640"/>
        <w:tab w:val="left" w:pos="619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8DB9" w14:textId="77777777" w:rsidR="0082602C" w:rsidRDefault="0082602C"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D6ADD"/>
    <w:multiLevelType w:val="multilevel"/>
    <w:tmpl w:val="D6C83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9"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10816"/>
    <w:multiLevelType w:val="hybridMultilevel"/>
    <w:tmpl w:val="62F02BE2"/>
    <w:lvl w:ilvl="0" w:tplc="D22C94C8">
      <w:start w:val="1"/>
      <w:numFmt w:val="bullet"/>
      <w:pStyle w:val="RadioButtonBullet"/>
      <w:lvlText w:val=""/>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6"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7" w15:restartNumberingAfterBreak="0">
    <w:nsid w:val="40F65AAE"/>
    <w:multiLevelType w:val="multilevel"/>
    <w:tmpl w:val="25A47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21" w15:restartNumberingAfterBreak="0">
    <w:nsid w:val="50E80A8B"/>
    <w:multiLevelType w:val="multilevel"/>
    <w:tmpl w:val="612C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4" w15:restartNumberingAfterBreak="0">
    <w:nsid w:val="5CDC2B88"/>
    <w:multiLevelType w:val="hybridMultilevel"/>
    <w:tmpl w:val="4C10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00CF3"/>
    <w:multiLevelType w:val="multilevel"/>
    <w:tmpl w:val="EB327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E441A5"/>
    <w:multiLevelType w:val="multilevel"/>
    <w:tmpl w:val="32181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8"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92A41"/>
    <w:multiLevelType w:val="multilevel"/>
    <w:tmpl w:val="6ACC7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abstractNumId w:val="14"/>
  </w:num>
  <w:num w:numId="2">
    <w:abstractNumId w:val="30"/>
  </w:num>
  <w:num w:numId="3">
    <w:abstractNumId w:val="16"/>
  </w:num>
  <w:num w:numId="4">
    <w:abstractNumId w:val="15"/>
  </w:num>
  <w:num w:numId="5">
    <w:abstractNumId w:val="33"/>
  </w:num>
  <w:num w:numId="6">
    <w:abstractNumId w:val="0"/>
  </w:num>
  <w:num w:numId="7">
    <w:abstractNumId w:val="1"/>
  </w:num>
  <w:num w:numId="8">
    <w:abstractNumId w:val="27"/>
  </w:num>
  <w:num w:numId="9">
    <w:abstractNumId w:val="23"/>
  </w:num>
  <w:num w:numId="10">
    <w:abstractNumId w:val="8"/>
  </w:num>
  <w:num w:numId="11">
    <w:abstractNumId w:val="7"/>
  </w:num>
  <w:num w:numId="12">
    <w:abstractNumId w:val="12"/>
  </w:num>
  <w:num w:numId="13">
    <w:abstractNumId w:val="19"/>
  </w:num>
  <w:num w:numId="14">
    <w:abstractNumId w:val="18"/>
  </w:num>
  <w:num w:numId="15">
    <w:abstractNumId w:val="22"/>
  </w:num>
  <w:num w:numId="16">
    <w:abstractNumId w:val="28"/>
  </w:num>
  <w:num w:numId="17">
    <w:abstractNumId w:val="9"/>
  </w:num>
  <w:num w:numId="18">
    <w:abstractNumId w:val="13"/>
  </w:num>
  <w:num w:numId="19">
    <w:abstractNumId w:val="31"/>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1"/>
  </w:num>
  <w:num w:numId="30">
    <w:abstractNumId w:val="25"/>
  </w:num>
  <w:num w:numId="31">
    <w:abstractNumId w:val="26"/>
  </w:num>
  <w:num w:numId="32">
    <w:abstractNumId w:val="17"/>
  </w:num>
  <w:num w:numId="33">
    <w:abstractNumId w:val="6"/>
  </w:num>
  <w:num w:numId="34">
    <w:abstractNumId w:val="29"/>
  </w:num>
  <w:num w:numId="3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69"/>
    <w:rsid w:val="000007DF"/>
    <w:rsid w:val="00000E77"/>
    <w:rsid w:val="00001986"/>
    <w:rsid w:val="00001C5E"/>
    <w:rsid w:val="00001EAE"/>
    <w:rsid w:val="000026A5"/>
    <w:rsid w:val="000032E5"/>
    <w:rsid w:val="00003894"/>
    <w:rsid w:val="0000398B"/>
    <w:rsid w:val="000039B6"/>
    <w:rsid w:val="00004700"/>
    <w:rsid w:val="00004E61"/>
    <w:rsid w:val="000060A9"/>
    <w:rsid w:val="00006354"/>
    <w:rsid w:val="00010158"/>
    <w:rsid w:val="00010D0F"/>
    <w:rsid w:val="0001126B"/>
    <w:rsid w:val="00011778"/>
    <w:rsid w:val="00011F5F"/>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707D"/>
    <w:rsid w:val="00017826"/>
    <w:rsid w:val="00017FA6"/>
    <w:rsid w:val="000209D6"/>
    <w:rsid w:val="00020C35"/>
    <w:rsid w:val="0002166F"/>
    <w:rsid w:val="000221B3"/>
    <w:rsid w:val="00023642"/>
    <w:rsid w:val="00023679"/>
    <w:rsid w:val="00023870"/>
    <w:rsid w:val="00023E62"/>
    <w:rsid w:val="0002435E"/>
    <w:rsid w:val="00024979"/>
    <w:rsid w:val="000251C4"/>
    <w:rsid w:val="000256D1"/>
    <w:rsid w:val="00025D8D"/>
    <w:rsid w:val="00026ADD"/>
    <w:rsid w:val="000275DF"/>
    <w:rsid w:val="00027886"/>
    <w:rsid w:val="00027F39"/>
    <w:rsid w:val="00030B45"/>
    <w:rsid w:val="00030D29"/>
    <w:rsid w:val="00030F20"/>
    <w:rsid w:val="00031560"/>
    <w:rsid w:val="0003181F"/>
    <w:rsid w:val="00031C3A"/>
    <w:rsid w:val="00031E3A"/>
    <w:rsid w:val="0003212C"/>
    <w:rsid w:val="00032548"/>
    <w:rsid w:val="00032DB1"/>
    <w:rsid w:val="00033474"/>
    <w:rsid w:val="00033EB9"/>
    <w:rsid w:val="0003461E"/>
    <w:rsid w:val="00035814"/>
    <w:rsid w:val="000360A5"/>
    <w:rsid w:val="000364A0"/>
    <w:rsid w:val="00037032"/>
    <w:rsid w:val="000378F3"/>
    <w:rsid w:val="000379CD"/>
    <w:rsid w:val="000379F6"/>
    <w:rsid w:val="000406CD"/>
    <w:rsid w:val="00041E27"/>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2BC"/>
    <w:rsid w:val="00055E80"/>
    <w:rsid w:val="00055FC7"/>
    <w:rsid w:val="000564AC"/>
    <w:rsid w:val="00061896"/>
    <w:rsid w:val="000618B4"/>
    <w:rsid w:val="00061AB2"/>
    <w:rsid w:val="00061F73"/>
    <w:rsid w:val="000629B8"/>
    <w:rsid w:val="00063CB9"/>
    <w:rsid w:val="0006466C"/>
    <w:rsid w:val="00064809"/>
    <w:rsid w:val="00064AB6"/>
    <w:rsid w:val="00064BA4"/>
    <w:rsid w:val="00065224"/>
    <w:rsid w:val="00067883"/>
    <w:rsid w:val="00067C04"/>
    <w:rsid w:val="00067F9F"/>
    <w:rsid w:val="00070330"/>
    <w:rsid w:val="000709B9"/>
    <w:rsid w:val="000714F7"/>
    <w:rsid w:val="00072B99"/>
    <w:rsid w:val="00072FEE"/>
    <w:rsid w:val="00073047"/>
    <w:rsid w:val="000739DE"/>
    <w:rsid w:val="00074237"/>
    <w:rsid w:val="000743D6"/>
    <w:rsid w:val="00075324"/>
    <w:rsid w:val="000770F0"/>
    <w:rsid w:val="0007732B"/>
    <w:rsid w:val="000802F7"/>
    <w:rsid w:val="00080681"/>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0569"/>
    <w:rsid w:val="000A0FB4"/>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B7B9F"/>
    <w:rsid w:val="000C0069"/>
    <w:rsid w:val="000C1C56"/>
    <w:rsid w:val="000C2444"/>
    <w:rsid w:val="000C2AED"/>
    <w:rsid w:val="000C3421"/>
    <w:rsid w:val="000C57BE"/>
    <w:rsid w:val="000C5918"/>
    <w:rsid w:val="000C5A7A"/>
    <w:rsid w:val="000C6015"/>
    <w:rsid w:val="000C6763"/>
    <w:rsid w:val="000C688B"/>
    <w:rsid w:val="000C6B64"/>
    <w:rsid w:val="000C7481"/>
    <w:rsid w:val="000D0117"/>
    <w:rsid w:val="000D0843"/>
    <w:rsid w:val="000D09F9"/>
    <w:rsid w:val="000D1181"/>
    <w:rsid w:val="000D1580"/>
    <w:rsid w:val="000D2FB8"/>
    <w:rsid w:val="000D37FC"/>
    <w:rsid w:val="000D4623"/>
    <w:rsid w:val="000D4875"/>
    <w:rsid w:val="000D4947"/>
    <w:rsid w:val="000D4C8D"/>
    <w:rsid w:val="000D565E"/>
    <w:rsid w:val="000D5753"/>
    <w:rsid w:val="000D69E5"/>
    <w:rsid w:val="000D6C5B"/>
    <w:rsid w:val="000D6EC4"/>
    <w:rsid w:val="000D7858"/>
    <w:rsid w:val="000D7F9F"/>
    <w:rsid w:val="000E01DF"/>
    <w:rsid w:val="000E0A7D"/>
    <w:rsid w:val="000E0D1F"/>
    <w:rsid w:val="000E1C83"/>
    <w:rsid w:val="000E206D"/>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3EAA"/>
    <w:rsid w:val="000F435D"/>
    <w:rsid w:val="000F4A31"/>
    <w:rsid w:val="000F4F37"/>
    <w:rsid w:val="000F4FB0"/>
    <w:rsid w:val="000F5814"/>
    <w:rsid w:val="000F5FCD"/>
    <w:rsid w:val="000F66B8"/>
    <w:rsid w:val="000F670E"/>
    <w:rsid w:val="000F68E8"/>
    <w:rsid w:val="000F7399"/>
    <w:rsid w:val="000F7CF3"/>
    <w:rsid w:val="000F7D53"/>
    <w:rsid w:val="001010F3"/>
    <w:rsid w:val="0010168C"/>
    <w:rsid w:val="00101CA5"/>
    <w:rsid w:val="00101E61"/>
    <w:rsid w:val="001022CB"/>
    <w:rsid w:val="00102695"/>
    <w:rsid w:val="00102A57"/>
    <w:rsid w:val="00102C3C"/>
    <w:rsid w:val="00102F04"/>
    <w:rsid w:val="00103CD3"/>
    <w:rsid w:val="00103DEA"/>
    <w:rsid w:val="00104B17"/>
    <w:rsid w:val="00104E0D"/>
    <w:rsid w:val="0010504E"/>
    <w:rsid w:val="0010510A"/>
    <w:rsid w:val="001055FB"/>
    <w:rsid w:val="00105DC4"/>
    <w:rsid w:val="00106077"/>
    <w:rsid w:val="001061C0"/>
    <w:rsid w:val="00106310"/>
    <w:rsid w:val="00106D71"/>
    <w:rsid w:val="0010731D"/>
    <w:rsid w:val="00107406"/>
    <w:rsid w:val="00107600"/>
    <w:rsid w:val="00110F51"/>
    <w:rsid w:val="0011113F"/>
    <w:rsid w:val="00111B71"/>
    <w:rsid w:val="00111F32"/>
    <w:rsid w:val="00112DDC"/>
    <w:rsid w:val="00112F4D"/>
    <w:rsid w:val="00112F5D"/>
    <w:rsid w:val="001139B5"/>
    <w:rsid w:val="00113CE9"/>
    <w:rsid w:val="00113E1E"/>
    <w:rsid w:val="001143E7"/>
    <w:rsid w:val="001146DB"/>
    <w:rsid w:val="00114A6C"/>
    <w:rsid w:val="00114C56"/>
    <w:rsid w:val="00115277"/>
    <w:rsid w:val="001153A9"/>
    <w:rsid w:val="001156D2"/>
    <w:rsid w:val="00115CDA"/>
    <w:rsid w:val="00116D0B"/>
    <w:rsid w:val="00116D8B"/>
    <w:rsid w:val="00117490"/>
    <w:rsid w:val="00117696"/>
    <w:rsid w:val="00117952"/>
    <w:rsid w:val="001207EF"/>
    <w:rsid w:val="00120AE3"/>
    <w:rsid w:val="0012230D"/>
    <w:rsid w:val="001225CB"/>
    <w:rsid w:val="00124054"/>
    <w:rsid w:val="0012497F"/>
    <w:rsid w:val="00124DB5"/>
    <w:rsid w:val="00124E6A"/>
    <w:rsid w:val="00124ED5"/>
    <w:rsid w:val="00126853"/>
    <w:rsid w:val="00126FF9"/>
    <w:rsid w:val="001270B8"/>
    <w:rsid w:val="001273C6"/>
    <w:rsid w:val="00130AE9"/>
    <w:rsid w:val="00131DBD"/>
    <w:rsid w:val="00131E2C"/>
    <w:rsid w:val="00132EE9"/>
    <w:rsid w:val="00133698"/>
    <w:rsid w:val="001339A7"/>
    <w:rsid w:val="00133A3A"/>
    <w:rsid w:val="00134C0C"/>
    <w:rsid w:val="001352A9"/>
    <w:rsid w:val="00135576"/>
    <w:rsid w:val="00135C7A"/>
    <w:rsid w:val="00136BE2"/>
    <w:rsid w:val="0014028E"/>
    <w:rsid w:val="00140A8A"/>
    <w:rsid w:val="00141A33"/>
    <w:rsid w:val="00142117"/>
    <w:rsid w:val="00142347"/>
    <w:rsid w:val="0014261C"/>
    <w:rsid w:val="001430AA"/>
    <w:rsid w:val="0014399E"/>
    <w:rsid w:val="00144186"/>
    <w:rsid w:val="001445CE"/>
    <w:rsid w:val="00144EB2"/>
    <w:rsid w:val="00145F88"/>
    <w:rsid w:val="001460CD"/>
    <w:rsid w:val="00146B79"/>
    <w:rsid w:val="00146FBA"/>
    <w:rsid w:val="00150B3B"/>
    <w:rsid w:val="00151612"/>
    <w:rsid w:val="00151989"/>
    <w:rsid w:val="00151F97"/>
    <w:rsid w:val="001529B9"/>
    <w:rsid w:val="00152FAE"/>
    <w:rsid w:val="00153A6F"/>
    <w:rsid w:val="00153F2D"/>
    <w:rsid w:val="001542AE"/>
    <w:rsid w:val="00154C56"/>
    <w:rsid w:val="00156004"/>
    <w:rsid w:val="00156264"/>
    <w:rsid w:val="0015671D"/>
    <w:rsid w:val="00156BF7"/>
    <w:rsid w:val="00157066"/>
    <w:rsid w:val="001600D9"/>
    <w:rsid w:val="001604F3"/>
    <w:rsid w:val="00160856"/>
    <w:rsid w:val="001634E7"/>
    <w:rsid w:val="0016375D"/>
    <w:rsid w:val="001638EB"/>
    <w:rsid w:val="00163944"/>
    <w:rsid w:val="00163BEE"/>
    <w:rsid w:val="00164B78"/>
    <w:rsid w:val="00164FFE"/>
    <w:rsid w:val="00165225"/>
    <w:rsid w:val="00165467"/>
    <w:rsid w:val="0016559A"/>
    <w:rsid w:val="00167930"/>
    <w:rsid w:val="00170085"/>
    <w:rsid w:val="00170A9A"/>
    <w:rsid w:val="001714FA"/>
    <w:rsid w:val="001721C0"/>
    <w:rsid w:val="00172F58"/>
    <w:rsid w:val="00172FC0"/>
    <w:rsid w:val="001744F9"/>
    <w:rsid w:val="00174585"/>
    <w:rsid w:val="00174B9B"/>
    <w:rsid w:val="00174DB5"/>
    <w:rsid w:val="00174E1C"/>
    <w:rsid w:val="00175DE4"/>
    <w:rsid w:val="00176006"/>
    <w:rsid w:val="0017668C"/>
    <w:rsid w:val="00177098"/>
    <w:rsid w:val="00177EC7"/>
    <w:rsid w:val="001806EA"/>
    <w:rsid w:val="0018087A"/>
    <w:rsid w:val="00181DEB"/>
    <w:rsid w:val="0018238E"/>
    <w:rsid w:val="001829C9"/>
    <w:rsid w:val="00183E9B"/>
    <w:rsid w:val="0018469E"/>
    <w:rsid w:val="00186420"/>
    <w:rsid w:val="001866DE"/>
    <w:rsid w:val="0019077A"/>
    <w:rsid w:val="001907A4"/>
    <w:rsid w:val="00190B59"/>
    <w:rsid w:val="0019105A"/>
    <w:rsid w:val="00191350"/>
    <w:rsid w:val="0019150B"/>
    <w:rsid w:val="0019260C"/>
    <w:rsid w:val="001934C3"/>
    <w:rsid w:val="00193E59"/>
    <w:rsid w:val="00195F78"/>
    <w:rsid w:val="001963DE"/>
    <w:rsid w:val="00197A4F"/>
    <w:rsid w:val="001A0637"/>
    <w:rsid w:val="001A0793"/>
    <w:rsid w:val="001A171A"/>
    <w:rsid w:val="001A192D"/>
    <w:rsid w:val="001A1DC6"/>
    <w:rsid w:val="001A2ACC"/>
    <w:rsid w:val="001A2DF3"/>
    <w:rsid w:val="001A342F"/>
    <w:rsid w:val="001A3539"/>
    <w:rsid w:val="001A39BE"/>
    <w:rsid w:val="001A4B29"/>
    <w:rsid w:val="001A4B9B"/>
    <w:rsid w:val="001A5652"/>
    <w:rsid w:val="001A582D"/>
    <w:rsid w:val="001A5EBA"/>
    <w:rsid w:val="001A6E55"/>
    <w:rsid w:val="001B0473"/>
    <w:rsid w:val="001B1139"/>
    <w:rsid w:val="001B12D3"/>
    <w:rsid w:val="001B1B38"/>
    <w:rsid w:val="001B2224"/>
    <w:rsid w:val="001B2809"/>
    <w:rsid w:val="001B45DD"/>
    <w:rsid w:val="001B4677"/>
    <w:rsid w:val="001B611F"/>
    <w:rsid w:val="001B6595"/>
    <w:rsid w:val="001B6A5C"/>
    <w:rsid w:val="001B6F43"/>
    <w:rsid w:val="001B6FC2"/>
    <w:rsid w:val="001B7654"/>
    <w:rsid w:val="001C006B"/>
    <w:rsid w:val="001C03C3"/>
    <w:rsid w:val="001C05DB"/>
    <w:rsid w:val="001C0676"/>
    <w:rsid w:val="001C0D43"/>
    <w:rsid w:val="001C2162"/>
    <w:rsid w:val="001C22E3"/>
    <w:rsid w:val="001C23B6"/>
    <w:rsid w:val="001C2BF0"/>
    <w:rsid w:val="001C2C90"/>
    <w:rsid w:val="001C3D0E"/>
    <w:rsid w:val="001C4405"/>
    <w:rsid w:val="001C46CD"/>
    <w:rsid w:val="001C5219"/>
    <w:rsid w:val="001C53AA"/>
    <w:rsid w:val="001C5417"/>
    <w:rsid w:val="001C56E8"/>
    <w:rsid w:val="001C63BA"/>
    <w:rsid w:val="001C6627"/>
    <w:rsid w:val="001C7E55"/>
    <w:rsid w:val="001C7F0B"/>
    <w:rsid w:val="001D046F"/>
    <w:rsid w:val="001D144F"/>
    <w:rsid w:val="001D1A20"/>
    <w:rsid w:val="001D1BF3"/>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3CD"/>
    <w:rsid w:val="001E2AFB"/>
    <w:rsid w:val="001E2E5A"/>
    <w:rsid w:val="001E2FBF"/>
    <w:rsid w:val="001E39E3"/>
    <w:rsid w:val="001E3FEA"/>
    <w:rsid w:val="001E4908"/>
    <w:rsid w:val="001E51FC"/>
    <w:rsid w:val="001E5B13"/>
    <w:rsid w:val="001E5CEA"/>
    <w:rsid w:val="001F1285"/>
    <w:rsid w:val="001F1489"/>
    <w:rsid w:val="001F1921"/>
    <w:rsid w:val="001F1E6E"/>
    <w:rsid w:val="001F2876"/>
    <w:rsid w:val="001F32F8"/>
    <w:rsid w:val="001F34C5"/>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3902"/>
    <w:rsid w:val="002044A7"/>
    <w:rsid w:val="00204735"/>
    <w:rsid w:val="00205039"/>
    <w:rsid w:val="00205168"/>
    <w:rsid w:val="00205239"/>
    <w:rsid w:val="00205324"/>
    <w:rsid w:val="002053B1"/>
    <w:rsid w:val="0020548E"/>
    <w:rsid w:val="00205595"/>
    <w:rsid w:val="0020590B"/>
    <w:rsid w:val="00205E6B"/>
    <w:rsid w:val="002060DB"/>
    <w:rsid w:val="0020799B"/>
    <w:rsid w:val="002107AA"/>
    <w:rsid w:val="00210C67"/>
    <w:rsid w:val="00210D18"/>
    <w:rsid w:val="00211DCE"/>
    <w:rsid w:val="00212A97"/>
    <w:rsid w:val="00214AB0"/>
    <w:rsid w:val="0021508C"/>
    <w:rsid w:val="0021530B"/>
    <w:rsid w:val="00215A38"/>
    <w:rsid w:val="00215E6A"/>
    <w:rsid w:val="002163B7"/>
    <w:rsid w:val="002163F2"/>
    <w:rsid w:val="002167E3"/>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5CDA"/>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6D6"/>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C5"/>
    <w:rsid w:val="00253AFB"/>
    <w:rsid w:val="00253D4F"/>
    <w:rsid w:val="0025401C"/>
    <w:rsid w:val="00254A25"/>
    <w:rsid w:val="00254CCC"/>
    <w:rsid w:val="0025687D"/>
    <w:rsid w:val="00256998"/>
    <w:rsid w:val="00256E8E"/>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8D3"/>
    <w:rsid w:val="00270952"/>
    <w:rsid w:val="00270F92"/>
    <w:rsid w:val="00271DCF"/>
    <w:rsid w:val="00271E37"/>
    <w:rsid w:val="0027224D"/>
    <w:rsid w:val="00272E13"/>
    <w:rsid w:val="002733A2"/>
    <w:rsid w:val="00274768"/>
    <w:rsid w:val="002756A3"/>
    <w:rsid w:val="002760A3"/>
    <w:rsid w:val="002760BD"/>
    <w:rsid w:val="002764FB"/>
    <w:rsid w:val="002768DB"/>
    <w:rsid w:val="002772F4"/>
    <w:rsid w:val="002775D1"/>
    <w:rsid w:val="00277C0C"/>
    <w:rsid w:val="00277E7F"/>
    <w:rsid w:val="00280BE5"/>
    <w:rsid w:val="00280BF0"/>
    <w:rsid w:val="00280C06"/>
    <w:rsid w:val="0028126A"/>
    <w:rsid w:val="002813C2"/>
    <w:rsid w:val="002814CA"/>
    <w:rsid w:val="0028232F"/>
    <w:rsid w:val="00282650"/>
    <w:rsid w:val="00282855"/>
    <w:rsid w:val="00283035"/>
    <w:rsid w:val="002838F3"/>
    <w:rsid w:val="00283A6E"/>
    <w:rsid w:val="00283E11"/>
    <w:rsid w:val="00283E7C"/>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4186"/>
    <w:rsid w:val="002959B0"/>
    <w:rsid w:val="00295B91"/>
    <w:rsid w:val="00296604"/>
    <w:rsid w:val="00296A63"/>
    <w:rsid w:val="00296EF8"/>
    <w:rsid w:val="0029729C"/>
    <w:rsid w:val="002974C4"/>
    <w:rsid w:val="00297710"/>
    <w:rsid w:val="00297898"/>
    <w:rsid w:val="00297B2C"/>
    <w:rsid w:val="00297FFC"/>
    <w:rsid w:val="002A0900"/>
    <w:rsid w:val="002A1328"/>
    <w:rsid w:val="002A1677"/>
    <w:rsid w:val="002A1E9E"/>
    <w:rsid w:val="002A1EAC"/>
    <w:rsid w:val="002A2503"/>
    <w:rsid w:val="002A2966"/>
    <w:rsid w:val="002A2A1B"/>
    <w:rsid w:val="002A2DE2"/>
    <w:rsid w:val="002A3DB5"/>
    <w:rsid w:val="002A43F7"/>
    <w:rsid w:val="002A476C"/>
    <w:rsid w:val="002A5A85"/>
    <w:rsid w:val="002A5ACF"/>
    <w:rsid w:val="002A5C3B"/>
    <w:rsid w:val="002A5E26"/>
    <w:rsid w:val="002A5E4E"/>
    <w:rsid w:val="002A6555"/>
    <w:rsid w:val="002A6E26"/>
    <w:rsid w:val="002A723A"/>
    <w:rsid w:val="002A74EF"/>
    <w:rsid w:val="002A7E5B"/>
    <w:rsid w:val="002B0760"/>
    <w:rsid w:val="002B0B00"/>
    <w:rsid w:val="002B14DF"/>
    <w:rsid w:val="002B15AD"/>
    <w:rsid w:val="002B2055"/>
    <w:rsid w:val="002B3EAE"/>
    <w:rsid w:val="002B4034"/>
    <w:rsid w:val="002B4803"/>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1423"/>
    <w:rsid w:val="002D491B"/>
    <w:rsid w:val="002D4D55"/>
    <w:rsid w:val="002D5A91"/>
    <w:rsid w:val="002D6723"/>
    <w:rsid w:val="002D67F1"/>
    <w:rsid w:val="002D6889"/>
    <w:rsid w:val="002D71EA"/>
    <w:rsid w:val="002D7557"/>
    <w:rsid w:val="002D76D6"/>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1A5"/>
    <w:rsid w:val="002E51CE"/>
    <w:rsid w:val="002E52E1"/>
    <w:rsid w:val="002E5573"/>
    <w:rsid w:val="002E61D5"/>
    <w:rsid w:val="002E64AF"/>
    <w:rsid w:val="002E6E04"/>
    <w:rsid w:val="002F0129"/>
    <w:rsid w:val="002F088C"/>
    <w:rsid w:val="002F0F0E"/>
    <w:rsid w:val="002F1A9A"/>
    <w:rsid w:val="002F1DE2"/>
    <w:rsid w:val="002F1EC3"/>
    <w:rsid w:val="002F2336"/>
    <w:rsid w:val="002F26D8"/>
    <w:rsid w:val="002F27B8"/>
    <w:rsid w:val="002F2AB5"/>
    <w:rsid w:val="002F48B9"/>
    <w:rsid w:val="002F5568"/>
    <w:rsid w:val="002F5A9E"/>
    <w:rsid w:val="002F5F54"/>
    <w:rsid w:val="002F672B"/>
    <w:rsid w:val="002F7D07"/>
    <w:rsid w:val="00300258"/>
    <w:rsid w:val="0030068A"/>
    <w:rsid w:val="00300CF4"/>
    <w:rsid w:val="00301085"/>
    <w:rsid w:val="00301362"/>
    <w:rsid w:val="003013C1"/>
    <w:rsid w:val="0030187E"/>
    <w:rsid w:val="003020A9"/>
    <w:rsid w:val="00302B0D"/>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34A"/>
    <w:rsid w:val="00323BDD"/>
    <w:rsid w:val="00324430"/>
    <w:rsid w:val="00325F62"/>
    <w:rsid w:val="00326698"/>
    <w:rsid w:val="00326B5B"/>
    <w:rsid w:val="00327272"/>
    <w:rsid w:val="00327D53"/>
    <w:rsid w:val="00330231"/>
    <w:rsid w:val="00330896"/>
    <w:rsid w:val="00331137"/>
    <w:rsid w:val="00331918"/>
    <w:rsid w:val="00332054"/>
    <w:rsid w:val="003321D1"/>
    <w:rsid w:val="00332397"/>
    <w:rsid w:val="00332DE2"/>
    <w:rsid w:val="00332E23"/>
    <w:rsid w:val="0033308D"/>
    <w:rsid w:val="00333435"/>
    <w:rsid w:val="00334953"/>
    <w:rsid w:val="00335139"/>
    <w:rsid w:val="00337015"/>
    <w:rsid w:val="003379DB"/>
    <w:rsid w:val="00340115"/>
    <w:rsid w:val="00340484"/>
    <w:rsid w:val="0034074E"/>
    <w:rsid w:val="0034085B"/>
    <w:rsid w:val="00341650"/>
    <w:rsid w:val="0034198B"/>
    <w:rsid w:val="00341C0E"/>
    <w:rsid w:val="00342627"/>
    <w:rsid w:val="003427CD"/>
    <w:rsid w:val="00342BF9"/>
    <w:rsid w:val="00343A3C"/>
    <w:rsid w:val="00343D47"/>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3E8E"/>
    <w:rsid w:val="003546A3"/>
    <w:rsid w:val="0035538B"/>
    <w:rsid w:val="00355E23"/>
    <w:rsid w:val="003567DA"/>
    <w:rsid w:val="003569A0"/>
    <w:rsid w:val="0035766B"/>
    <w:rsid w:val="00361678"/>
    <w:rsid w:val="00361F62"/>
    <w:rsid w:val="00362018"/>
    <w:rsid w:val="00362834"/>
    <w:rsid w:val="0036311E"/>
    <w:rsid w:val="00363327"/>
    <w:rsid w:val="0036392C"/>
    <w:rsid w:val="00363AAB"/>
    <w:rsid w:val="003643D6"/>
    <w:rsid w:val="00365CE4"/>
    <w:rsid w:val="00366764"/>
    <w:rsid w:val="003670CE"/>
    <w:rsid w:val="00367835"/>
    <w:rsid w:val="00370225"/>
    <w:rsid w:val="00370888"/>
    <w:rsid w:val="00370A28"/>
    <w:rsid w:val="0037116A"/>
    <w:rsid w:val="003712B9"/>
    <w:rsid w:val="00371D52"/>
    <w:rsid w:val="0037212A"/>
    <w:rsid w:val="00372A64"/>
    <w:rsid w:val="0037347F"/>
    <w:rsid w:val="003736D3"/>
    <w:rsid w:val="003739C5"/>
    <w:rsid w:val="00373CF8"/>
    <w:rsid w:val="003741D3"/>
    <w:rsid w:val="00374368"/>
    <w:rsid w:val="00374399"/>
    <w:rsid w:val="003745FE"/>
    <w:rsid w:val="003747D0"/>
    <w:rsid w:val="00375DCE"/>
    <w:rsid w:val="00375F37"/>
    <w:rsid w:val="00376282"/>
    <w:rsid w:val="00376AC6"/>
    <w:rsid w:val="003776AA"/>
    <w:rsid w:val="00377D5E"/>
    <w:rsid w:val="00380171"/>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2D92"/>
    <w:rsid w:val="0039358F"/>
    <w:rsid w:val="003940FE"/>
    <w:rsid w:val="00394CE6"/>
    <w:rsid w:val="00394D72"/>
    <w:rsid w:val="003961AE"/>
    <w:rsid w:val="0039695A"/>
    <w:rsid w:val="003977D8"/>
    <w:rsid w:val="003A07BF"/>
    <w:rsid w:val="003A1055"/>
    <w:rsid w:val="003A12EA"/>
    <w:rsid w:val="003A2612"/>
    <w:rsid w:val="003A2D51"/>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3A4E"/>
    <w:rsid w:val="003B41C7"/>
    <w:rsid w:val="003B496A"/>
    <w:rsid w:val="003B5256"/>
    <w:rsid w:val="003B574F"/>
    <w:rsid w:val="003B5FA0"/>
    <w:rsid w:val="003B6047"/>
    <w:rsid w:val="003B6729"/>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757"/>
    <w:rsid w:val="003C4E4D"/>
    <w:rsid w:val="003C5493"/>
    <w:rsid w:val="003C6F87"/>
    <w:rsid w:val="003C7251"/>
    <w:rsid w:val="003C7719"/>
    <w:rsid w:val="003C776C"/>
    <w:rsid w:val="003D0040"/>
    <w:rsid w:val="003D02CD"/>
    <w:rsid w:val="003D157C"/>
    <w:rsid w:val="003D2746"/>
    <w:rsid w:val="003D3787"/>
    <w:rsid w:val="003D4AAD"/>
    <w:rsid w:val="003D5FD3"/>
    <w:rsid w:val="003D61B5"/>
    <w:rsid w:val="003D6CFB"/>
    <w:rsid w:val="003D7514"/>
    <w:rsid w:val="003E037C"/>
    <w:rsid w:val="003E059C"/>
    <w:rsid w:val="003E15B9"/>
    <w:rsid w:val="003E1D8E"/>
    <w:rsid w:val="003E28EB"/>
    <w:rsid w:val="003E3B30"/>
    <w:rsid w:val="003E467E"/>
    <w:rsid w:val="003E53BB"/>
    <w:rsid w:val="003E5A6B"/>
    <w:rsid w:val="003E628F"/>
    <w:rsid w:val="003E65F5"/>
    <w:rsid w:val="003E6B9B"/>
    <w:rsid w:val="003F0F5F"/>
    <w:rsid w:val="003F14BD"/>
    <w:rsid w:val="003F1EF0"/>
    <w:rsid w:val="003F2DBE"/>
    <w:rsid w:val="003F4461"/>
    <w:rsid w:val="003F48B6"/>
    <w:rsid w:val="003F4A0E"/>
    <w:rsid w:val="003F589D"/>
    <w:rsid w:val="003F58AF"/>
    <w:rsid w:val="003F6728"/>
    <w:rsid w:val="003F6F4E"/>
    <w:rsid w:val="003F77CC"/>
    <w:rsid w:val="003F7F2F"/>
    <w:rsid w:val="00400F0F"/>
    <w:rsid w:val="0040136C"/>
    <w:rsid w:val="00401792"/>
    <w:rsid w:val="00402758"/>
    <w:rsid w:val="00402838"/>
    <w:rsid w:val="0040304B"/>
    <w:rsid w:val="0040325C"/>
    <w:rsid w:val="00404159"/>
    <w:rsid w:val="004043E9"/>
    <w:rsid w:val="00404967"/>
    <w:rsid w:val="004050E0"/>
    <w:rsid w:val="004070B7"/>
    <w:rsid w:val="00411551"/>
    <w:rsid w:val="0041306A"/>
    <w:rsid w:val="0041349F"/>
    <w:rsid w:val="004134D0"/>
    <w:rsid w:val="0041365C"/>
    <w:rsid w:val="00413C81"/>
    <w:rsid w:val="00414268"/>
    <w:rsid w:val="004143CB"/>
    <w:rsid w:val="00414FEA"/>
    <w:rsid w:val="0041514F"/>
    <w:rsid w:val="004152EB"/>
    <w:rsid w:val="00415998"/>
    <w:rsid w:val="00415A29"/>
    <w:rsid w:val="00416250"/>
    <w:rsid w:val="004170D0"/>
    <w:rsid w:val="00417111"/>
    <w:rsid w:val="00417A18"/>
    <w:rsid w:val="00420273"/>
    <w:rsid w:val="00420950"/>
    <w:rsid w:val="004216A9"/>
    <w:rsid w:val="00421726"/>
    <w:rsid w:val="00421CA3"/>
    <w:rsid w:val="004227F4"/>
    <w:rsid w:val="00422BEE"/>
    <w:rsid w:val="00422FBD"/>
    <w:rsid w:val="00422FDF"/>
    <w:rsid w:val="00423420"/>
    <w:rsid w:val="00423A30"/>
    <w:rsid w:val="00423BCE"/>
    <w:rsid w:val="00424D45"/>
    <w:rsid w:val="00424E9C"/>
    <w:rsid w:val="00424EF0"/>
    <w:rsid w:val="004255C0"/>
    <w:rsid w:val="004259F3"/>
    <w:rsid w:val="00426370"/>
    <w:rsid w:val="00427338"/>
    <w:rsid w:val="004278B3"/>
    <w:rsid w:val="00427DD6"/>
    <w:rsid w:val="00430321"/>
    <w:rsid w:val="0043130B"/>
    <w:rsid w:val="00431D4D"/>
    <w:rsid w:val="00433A7A"/>
    <w:rsid w:val="00433DB7"/>
    <w:rsid w:val="00433E14"/>
    <w:rsid w:val="00434298"/>
    <w:rsid w:val="00435119"/>
    <w:rsid w:val="0043678A"/>
    <w:rsid w:val="00436802"/>
    <w:rsid w:val="004371A1"/>
    <w:rsid w:val="00437204"/>
    <w:rsid w:val="004374D6"/>
    <w:rsid w:val="00437F97"/>
    <w:rsid w:val="00440EFA"/>
    <w:rsid w:val="00441096"/>
    <w:rsid w:val="004410A6"/>
    <w:rsid w:val="00441FB4"/>
    <w:rsid w:val="004421DE"/>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11CC"/>
    <w:rsid w:val="00462483"/>
    <w:rsid w:val="004624DE"/>
    <w:rsid w:val="004625A7"/>
    <w:rsid w:val="0046281F"/>
    <w:rsid w:val="00462D2D"/>
    <w:rsid w:val="004634EA"/>
    <w:rsid w:val="00463574"/>
    <w:rsid w:val="00463D01"/>
    <w:rsid w:val="0046405B"/>
    <w:rsid w:val="00464BA8"/>
    <w:rsid w:val="004650EA"/>
    <w:rsid w:val="0046516A"/>
    <w:rsid w:val="004651E0"/>
    <w:rsid w:val="00465BA4"/>
    <w:rsid w:val="0046603A"/>
    <w:rsid w:val="0046611E"/>
    <w:rsid w:val="004662DB"/>
    <w:rsid w:val="00466F85"/>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B8D"/>
    <w:rsid w:val="00475E2D"/>
    <w:rsid w:val="004761C7"/>
    <w:rsid w:val="0047630E"/>
    <w:rsid w:val="004765BA"/>
    <w:rsid w:val="0047666D"/>
    <w:rsid w:val="00476A20"/>
    <w:rsid w:val="00476B4C"/>
    <w:rsid w:val="00477B4C"/>
    <w:rsid w:val="00480C58"/>
    <w:rsid w:val="0048106A"/>
    <w:rsid w:val="00481B93"/>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653"/>
    <w:rsid w:val="00487F39"/>
    <w:rsid w:val="00487F6E"/>
    <w:rsid w:val="00490F6D"/>
    <w:rsid w:val="0049130F"/>
    <w:rsid w:val="00491BD7"/>
    <w:rsid w:val="00492994"/>
    <w:rsid w:val="00492B6F"/>
    <w:rsid w:val="00494644"/>
    <w:rsid w:val="004952E2"/>
    <w:rsid w:val="00495547"/>
    <w:rsid w:val="004955D2"/>
    <w:rsid w:val="00496C09"/>
    <w:rsid w:val="00496FEA"/>
    <w:rsid w:val="0049743B"/>
    <w:rsid w:val="00497C4D"/>
    <w:rsid w:val="00497E0D"/>
    <w:rsid w:val="004A00BD"/>
    <w:rsid w:val="004A048F"/>
    <w:rsid w:val="004A08EB"/>
    <w:rsid w:val="004A1179"/>
    <w:rsid w:val="004A13F5"/>
    <w:rsid w:val="004A15B3"/>
    <w:rsid w:val="004A1709"/>
    <w:rsid w:val="004A268B"/>
    <w:rsid w:val="004A2E39"/>
    <w:rsid w:val="004A38B9"/>
    <w:rsid w:val="004A3CF1"/>
    <w:rsid w:val="004A4483"/>
    <w:rsid w:val="004A476A"/>
    <w:rsid w:val="004A543B"/>
    <w:rsid w:val="004A571B"/>
    <w:rsid w:val="004A5828"/>
    <w:rsid w:val="004A72AF"/>
    <w:rsid w:val="004A7446"/>
    <w:rsid w:val="004A7ECD"/>
    <w:rsid w:val="004A7F62"/>
    <w:rsid w:val="004B015A"/>
    <w:rsid w:val="004B04B1"/>
    <w:rsid w:val="004B0B07"/>
    <w:rsid w:val="004B1014"/>
    <w:rsid w:val="004B11A4"/>
    <w:rsid w:val="004B1BD2"/>
    <w:rsid w:val="004B1DF7"/>
    <w:rsid w:val="004B1FA8"/>
    <w:rsid w:val="004B2F3F"/>
    <w:rsid w:val="004B32D8"/>
    <w:rsid w:val="004B3BC6"/>
    <w:rsid w:val="004B3FD9"/>
    <w:rsid w:val="004B4513"/>
    <w:rsid w:val="004B6284"/>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55B9"/>
    <w:rsid w:val="004D63DC"/>
    <w:rsid w:val="004D6D75"/>
    <w:rsid w:val="004D6DA0"/>
    <w:rsid w:val="004D7859"/>
    <w:rsid w:val="004D7C38"/>
    <w:rsid w:val="004E00C8"/>
    <w:rsid w:val="004E0350"/>
    <w:rsid w:val="004E087F"/>
    <w:rsid w:val="004E0F0B"/>
    <w:rsid w:val="004E1360"/>
    <w:rsid w:val="004E1471"/>
    <w:rsid w:val="004E1A9D"/>
    <w:rsid w:val="004E1AE0"/>
    <w:rsid w:val="004E1EC8"/>
    <w:rsid w:val="004E393A"/>
    <w:rsid w:val="004E3C40"/>
    <w:rsid w:val="004E4074"/>
    <w:rsid w:val="004E4B8A"/>
    <w:rsid w:val="004E4D6B"/>
    <w:rsid w:val="004E5163"/>
    <w:rsid w:val="004E6EEC"/>
    <w:rsid w:val="004E7211"/>
    <w:rsid w:val="004E7413"/>
    <w:rsid w:val="004E7E47"/>
    <w:rsid w:val="004F0C02"/>
    <w:rsid w:val="004F0C1C"/>
    <w:rsid w:val="004F0C22"/>
    <w:rsid w:val="004F1386"/>
    <w:rsid w:val="004F1483"/>
    <w:rsid w:val="004F1C60"/>
    <w:rsid w:val="004F20A4"/>
    <w:rsid w:val="004F2261"/>
    <w:rsid w:val="004F247D"/>
    <w:rsid w:val="004F2A13"/>
    <w:rsid w:val="004F348D"/>
    <w:rsid w:val="004F34AB"/>
    <w:rsid w:val="004F3C7D"/>
    <w:rsid w:val="004F488B"/>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2BD"/>
    <w:rsid w:val="005043ED"/>
    <w:rsid w:val="005046A6"/>
    <w:rsid w:val="00504809"/>
    <w:rsid w:val="00504A61"/>
    <w:rsid w:val="00504D1A"/>
    <w:rsid w:val="00505E58"/>
    <w:rsid w:val="00507091"/>
    <w:rsid w:val="00507464"/>
    <w:rsid w:val="00507A51"/>
    <w:rsid w:val="00510105"/>
    <w:rsid w:val="0051067B"/>
    <w:rsid w:val="0051074E"/>
    <w:rsid w:val="00511AB2"/>
    <w:rsid w:val="00511C1D"/>
    <w:rsid w:val="005126AF"/>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9CD"/>
    <w:rsid w:val="00517E39"/>
    <w:rsid w:val="00520619"/>
    <w:rsid w:val="00520D39"/>
    <w:rsid w:val="00520F5D"/>
    <w:rsid w:val="005217D0"/>
    <w:rsid w:val="00521E96"/>
    <w:rsid w:val="00521EAE"/>
    <w:rsid w:val="00522965"/>
    <w:rsid w:val="00522CFA"/>
    <w:rsid w:val="0052343C"/>
    <w:rsid w:val="00523FAA"/>
    <w:rsid w:val="00524F62"/>
    <w:rsid w:val="005253AF"/>
    <w:rsid w:val="00525A27"/>
    <w:rsid w:val="00525B28"/>
    <w:rsid w:val="00525B5D"/>
    <w:rsid w:val="0052615D"/>
    <w:rsid w:val="005262C1"/>
    <w:rsid w:val="00526DC0"/>
    <w:rsid w:val="005272DB"/>
    <w:rsid w:val="00530511"/>
    <w:rsid w:val="00530769"/>
    <w:rsid w:val="00530B63"/>
    <w:rsid w:val="00530C57"/>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749"/>
    <w:rsid w:val="00536947"/>
    <w:rsid w:val="005369EB"/>
    <w:rsid w:val="00536F59"/>
    <w:rsid w:val="00540BB9"/>
    <w:rsid w:val="00540BE5"/>
    <w:rsid w:val="00540D34"/>
    <w:rsid w:val="0054124F"/>
    <w:rsid w:val="0054138E"/>
    <w:rsid w:val="00541CED"/>
    <w:rsid w:val="00542D94"/>
    <w:rsid w:val="005437D9"/>
    <w:rsid w:val="0054574A"/>
    <w:rsid w:val="005459A8"/>
    <w:rsid w:val="00545FA0"/>
    <w:rsid w:val="0054617E"/>
    <w:rsid w:val="005473C2"/>
    <w:rsid w:val="005507A9"/>
    <w:rsid w:val="0055088F"/>
    <w:rsid w:val="00550901"/>
    <w:rsid w:val="00550D9A"/>
    <w:rsid w:val="00550FC1"/>
    <w:rsid w:val="005510B1"/>
    <w:rsid w:val="005514F0"/>
    <w:rsid w:val="00551ED1"/>
    <w:rsid w:val="005526BB"/>
    <w:rsid w:val="00552C72"/>
    <w:rsid w:val="0055373D"/>
    <w:rsid w:val="0055390C"/>
    <w:rsid w:val="00553ADE"/>
    <w:rsid w:val="00554311"/>
    <w:rsid w:val="00554715"/>
    <w:rsid w:val="00555729"/>
    <w:rsid w:val="00555AD9"/>
    <w:rsid w:val="005566A3"/>
    <w:rsid w:val="00556ACB"/>
    <w:rsid w:val="00556FC4"/>
    <w:rsid w:val="005573B3"/>
    <w:rsid w:val="005573BB"/>
    <w:rsid w:val="00557804"/>
    <w:rsid w:val="00557BFA"/>
    <w:rsid w:val="00557D06"/>
    <w:rsid w:val="00561068"/>
    <w:rsid w:val="0056120D"/>
    <w:rsid w:val="00561EB3"/>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77CE3"/>
    <w:rsid w:val="00581329"/>
    <w:rsid w:val="005816D6"/>
    <w:rsid w:val="00582C08"/>
    <w:rsid w:val="00582C70"/>
    <w:rsid w:val="00582D95"/>
    <w:rsid w:val="00582EFD"/>
    <w:rsid w:val="005838E8"/>
    <w:rsid w:val="005839CF"/>
    <w:rsid w:val="00583FAD"/>
    <w:rsid w:val="005843B2"/>
    <w:rsid w:val="00585557"/>
    <w:rsid w:val="00585BC2"/>
    <w:rsid w:val="00585D34"/>
    <w:rsid w:val="00586C93"/>
    <w:rsid w:val="00586DCA"/>
    <w:rsid w:val="00586DE1"/>
    <w:rsid w:val="00587A22"/>
    <w:rsid w:val="005900EB"/>
    <w:rsid w:val="00590614"/>
    <w:rsid w:val="005913D1"/>
    <w:rsid w:val="005918D1"/>
    <w:rsid w:val="00594011"/>
    <w:rsid w:val="005945C8"/>
    <w:rsid w:val="00595B3E"/>
    <w:rsid w:val="00595FD8"/>
    <w:rsid w:val="00597845"/>
    <w:rsid w:val="005A06DA"/>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3A9B"/>
    <w:rsid w:val="005B4004"/>
    <w:rsid w:val="005B4FBD"/>
    <w:rsid w:val="005B5169"/>
    <w:rsid w:val="005B5A95"/>
    <w:rsid w:val="005B6725"/>
    <w:rsid w:val="005B7427"/>
    <w:rsid w:val="005B7DDF"/>
    <w:rsid w:val="005C0C52"/>
    <w:rsid w:val="005C14C2"/>
    <w:rsid w:val="005C269E"/>
    <w:rsid w:val="005C2C32"/>
    <w:rsid w:val="005C362A"/>
    <w:rsid w:val="005C3FFD"/>
    <w:rsid w:val="005C4311"/>
    <w:rsid w:val="005C5E18"/>
    <w:rsid w:val="005C6BF5"/>
    <w:rsid w:val="005C6DCB"/>
    <w:rsid w:val="005D0690"/>
    <w:rsid w:val="005D081A"/>
    <w:rsid w:val="005D1F17"/>
    <w:rsid w:val="005D22B2"/>
    <w:rsid w:val="005D3F8B"/>
    <w:rsid w:val="005D5508"/>
    <w:rsid w:val="005D64BA"/>
    <w:rsid w:val="005D6D24"/>
    <w:rsid w:val="005D7714"/>
    <w:rsid w:val="005D799E"/>
    <w:rsid w:val="005E00AD"/>
    <w:rsid w:val="005E0EB2"/>
    <w:rsid w:val="005E1087"/>
    <w:rsid w:val="005E10AF"/>
    <w:rsid w:val="005E1362"/>
    <w:rsid w:val="005E1ADE"/>
    <w:rsid w:val="005E26F3"/>
    <w:rsid w:val="005E2832"/>
    <w:rsid w:val="005E363D"/>
    <w:rsid w:val="005E3CAC"/>
    <w:rsid w:val="005E3DB9"/>
    <w:rsid w:val="005E414F"/>
    <w:rsid w:val="005E466E"/>
    <w:rsid w:val="005E5083"/>
    <w:rsid w:val="005E54D4"/>
    <w:rsid w:val="005E59DB"/>
    <w:rsid w:val="005E635B"/>
    <w:rsid w:val="005E75A0"/>
    <w:rsid w:val="005F00C3"/>
    <w:rsid w:val="005F2033"/>
    <w:rsid w:val="005F28F5"/>
    <w:rsid w:val="005F38FE"/>
    <w:rsid w:val="005F408F"/>
    <w:rsid w:val="005F4279"/>
    <w:rsid w:val="005F481B"/>
    <w:rsid w:val="005F5010"/>
    <w:rsid w:val="005F5034"/>
    <w:rsid w:val="005F5818"/>
    <w:rsid w:val="005F61B8"/>
    <w:rsid w:val="005F6257"/>
    <w:rsid w:val="005F762F"/>
    <w:rsid w:val="005F7682"/>
    <w:rsid w:val="005F7AB7"/>
    <w:rsid w:val="006000DF"/>
    <w:rsid w:val="0060065D"/>
    <w:rsid w:val="00602236"/>
    <w:rsid w:val="006029F5"/>
    <w:rsid w:val="00603B42"/>
    <w:rsid w:val="00603E99"/>
    <w:rsid w:val="0060440D"/>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3B5"/>
    <w:rsid w:val="006116B4"/>
    <w:rsid w:val="006122DB"/>
    <w:rsid w:val="00612978"/>
    <w:rsid w:val="006133A3"/>
    <w:rsid w:val="00613A18"/>
    <w:rsid w:val="006147C9"/>
    <w:rsid w:val="00614B2B"/>
    <w:rsid w:val="0061562D"/>
    <w:rsid w:val="00615B90"/>
    <w:rsid w:val="00615BD0"/>
    <w:rsid w:val="006160D5"/>
    <w:rsid w:val="00616172"/>
    <w:rsid w:val="00616AB4"/>
    <w:rsid w:val="00617122"/>
    <w:rsid w:val="00617A1A"/>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2739D"/>
    <w:rsid w:val="0063007F"/>
    <w:rsid w:val="006302EB"/>
    <w:rsid w:val="00630925"/>
    <w:rsid w:val="00630A1E"/>
    <w:rsid w:val="00631022"/>
    <w:rsid w:val="006315A8"/>
    <w:rsid w:val="006318FB"/>
    <w:rsid w:val="0063215B"/>
    <w:rsid w:val="00632DF6"/>
    <w:rsid w:val="00633452"/>
    <w:rsid w:val="00634A84"/>
    <w:rsid w:val="00634AD8"/>
    <w:rsid w:val="006362E6"/>
    <w:rsid w:val="00636B0E"/>
    <w:rsid w:val="0063702E"/>
    <w:rsid w:val="00637BE2"/>
    <w:rsid w:val="00640856"/>
    <w:rsid w:val="00640F04"/>
    <w:rsid w:val="006414D9"/>
    <w:rsid w:val="00641784"/>
    <w:rsid w:val="00641AC8"/>
    <w:rsid w:val="00641B02"/>
    <w:rsid w:val="00641BA0"/>
    <w:rsid w:val="00642973"/>
    <w:rsid w:val="00642FF1"/>
    <w:rsid w:val="0064369A"/>
    <w:rsid w:val="00643754"/>
    <w:rsid w:val="0064501C"/>
    <w:rsid w:val="00646642"/>
    <w:rsid w:val="00646E42"/>
    <w:rsid w:val="0064716E"/>
    <w:rsid w:val="00647F29"/>
    <w:rsid w:val="00650305"/>
    <w:rsid w:val="00650385"/>
    <w:rsid w:val="00650588"/>
    <w:rsid w:val="00650873"/>
    <w:rsid w:val="006508CC"/>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3F6"/>
    <w:rsid w:val="0065643A"/>
    <w:rsid w:val="00656611"/>
    <w:rsid w:val="006566BC"/>
    <w:rsid w:val="006567D0"/>
    <w:rsid w:val="006570CC"/>
    <w:rsid w:val="00657135"/>
    <w:rsid w:val="0065724F"/>
    <w:rsid w:val="00660214"/>
    <w:rsid w:val="00660BFE"/>
    <w:rsid w:val="00661A0F"/>
    <w:rsid w:val="00661BD9"/>
    <w:rsid w:val="006628E4"/>
    <w:rsid w:val="00664D35"/>
    <w:rsid w:val="00665097"/>
    <w:rsid w:val="00665E2F"/>
    <w:rsid w:val="0066646D"/>
    <w:rsid w:val="00666A8B"/>
    <w:rsid w:val="00666C23"/>
    <w:rsid w:val="006675B4"/>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4786"/>
    <w:rsid w:val="00685039"/>
    <w:rsid w:val="006856E6"/>
    <w:rsid w:val="00685BA9"/>
    <w:rsid w:val="0068636B"/>
    <w:rsid w:val="00686ABE"/>
    <w:rsid w:val="00687993"/>
    <w:rsid w:val="0069019B"/>
    <w:rsid w:val="006902F0"/>
    <w:rsid w:val="006905D0"/>
    <w:rsid w:val="00690AC9"/>
    <w:rsid w:val="00691386"/>
    <w:rsid w:val="00692716"/>
    <w:rsid w:val="00692CC2"/>
    <w:rsid w:val="006935F4"/>
    <w:rsid w:val="00693A7B"/>
    <w:rsid w:val="00693B33"/>
    <w:rsid w:val="00694144"/>
    <w:rsid w:val="006942A9"/>
    <w:rsid w:val="00694321"/>
    <w:rsid w:val="00695D5E"/>
    <w:rsid w:val="006973EB"/>
    <w:rsid w:val="0069761B"/>
    <w:rsid w:val="006A02EA"/>
    <w:rsid w:val="006A05A9"/>
    <w:rsid w:val="006A11BE"/>
    <w:rsid w:val="006A23D8"/>
    <w:rsid w:val="006A3544"/>
    <w:rsid w:val="006A36A8"/>
    <w:rsid w:val="006A36C0"/>
    <w:rsid w:val="006A3A68"/>
    <w:rsid w:val="006A3AA9"/>
    <w:rsid w:val="006A5203"/>
    <w:rsid w:val="006A6410"/>
    <w:rsid w:val="006A65A5"/>
    <w:rsid w:val="006A728F"/>
    <w:rsid w:val="006A75D3"/>
    <w:rsid w:val="006B03C2"/>
    <w:rsid w:val="006B0ACA"/>
    <w:rsid w:val="006B0F30"/>
    <w:rsid w:val="006B10DC"/>
    <w:rsid w:val="006B2A87"/>
    <w:rsid w:val="006B2FE9"/>
    <w:rsid w:val="006B33AE"/>
    <w:rsid w:val="006B3671"/>
    <w:rsid w:val="006B486C"/>
    <w:rsid w:val="006B4CA9"/>
    <w:rsid w:val="006B59B9"/>
    <w:rsid w:val="006B5AEF"/>
    <w:rsid w:val="006B64EC"/>
    <w:rsid w:val="006B6952"/>
    <w:rsid w:val="006B69D7"/>
    <w:rsid w:val="006B7031"/>
    <w:rsid w:val="006B7B05"/>
    <w:rsid w:val="006C0CA1"/>
    <w:rsid w:val="006C100B"/>
    <w:rsid w:val="006C16C5"/>
    <w:rsid w:val="006C2507"/>
    <w:rsid w:val="006C28CF"/>
    <w:rsid w:val="006C2EEF"/>
    <w:rsid w:val="006C3965"/>
    <w:rsid w:val="006C3B7E"/>
    <w:rsid w:val="006C4702"/>
    <w:rsid w:val="006C4BB8"/>
    <w:rsid w:val="006C6111"/>
    <w:rsid w:val="006C6B39"/>
    <w:rsid w:val="006C7125"/>
    <w:rsid w:val="006C78D4"/>
    <w:rsid w:val="006D0CD0"/>
    <w:rsid w:val="006D16E4"/>
    <w:rsid w:val="006D1912"/>
    <w:rsid w:val="006D1A2B"/>
    <w:rsid w:val="006D20B0"/>
    <w:rsid w:val="006D2754"/>
    <w:rsid w:val="006D275D"/>
    <w:rsid w:val="006D3C3A"/>
    <w:rsid w:val="006D43D3"/>
    <w:rsid w:val="006D4925"/>
    <w:rsid w:val="006D4F8F"/>
    <w:rsid w:val="006D5982"/>
    <w:rsid w:val="006D5C4C"/>
    <w:rsid w:val="006D5E8D"/>
    <w:rsid w:val="006D5F86"/>
    <w:rsid w:val="006D6023"/>
    <w:rsid w:val="006D773D"/>
    <w:rsid w:val="006D77BE"/>
    <w:rsid w:val="006D7F35"/>
    <w:rsid w:val="006E126C"/>
    <w:rsid w:val="006E1738"/>
    <w:rsid w:val="006E3226"/>
    <w:rsid w:val="006E322D"/>
    <w:rsid w:val="006E39C5"/>
    <w:rsid w:val="006E3C43"/>
    <w:rsid w:val="006E4C83"/>
    <w:rsid w:val="006E50D3"/>
    <w:rsid w:val="006E52F6"/>
    <w:rsid w:val="006E5DBC"/>
    <w:rsid w:val="006F014A"/>
    <w:rsid w:val="006F0BF4"/>
    <w:rsid w:val="006F0EFF"/>
    <w:rsid w:val="006F16D5"/>
    <w:rsid w:val="006F16F3"/>
    <w:rsid w:val="006F1CEA"/>
    <w:rsid w:val="006F2318"/>
    <w:rsid w:val="006F2A7D"/>
    <w:rsid w:val="006F322B"/>
    <w:rsid w:val="006F3905"/>
    <w:rsid w:val="006F391E"/>
    <w:rsid w:val="006F3F34"/>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A82"/>
    <w:rsid w:val="00703FA0"/>
    <w:rsid w:val="00704C17"/>
    <w:rsid w:val="00704DED"/>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B7"/>
    <w:rsid w:val="007169DD"/>
    <w:rsid w:val="00716DBD"/>
    <w:rsid w:val="00717130"/>
    <w:rsid w:val="00717461"/>
    <w:rsid w:val="00717710"/>
    <w:rsid w:val="0072060C"/>
    <w:rsid w:val="00720D77"/>
    <w:rsid w:val="007227E3"/>
    <w:rsid w:val="00722E3B"/>
    <w:rsid w:val="0072398B"/>
    <w:rsid w:val="00723A08"/>
    <w:rsid w:val="007243C1"/>
    <w:rsid w:val="00724F2E"/>
    <w:rsid w:val="00725433"/>
    <w:rsid w:val="007266A5"/>
    <w:rsid w:val="00727602"/>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D40"/>
    <w:rsid w:val="00742E14"/>
    <w:rsid w:val="00743466"/>
    <w:rsid w:val="00743680"/>
    <w:rsid w:val="00743759"/>
    <w:rsid w:val="00744152"/>
    <w:rsid w:val="00744585"/>
    <w:rsid w:val="007450A5"/>
    <w:rsid w:val="00745143"/>
    <w:rsid w:val="007453E4"/>
    <w:rsid w:val="00745BF1"/>
    <w:rsid w:val="00746369"/>
    <w:rsid w:val="00746F3A"/>
    <w:rsid w:val="00747DFB"/>
    <w:rsid w:val="00750CD5"/>
    <w:rsid w:val="00751610"/>
    <w:rsid w:val="00751D4E"/>
    <w:rsid w:val="00752483"/>
    <w:rsid w:val="007529F4"/>
    <w:rsid w:val="00752B05"/>
    <w:rsid w:val="00752FA3"/>
    <w:rsid w:val="00753E04"/>
    <w:rsid w:val="00754110"/>
    <w:rsid w:val="00754A1A"/>
    <w:rsid w:val="007555EC"/>
    <w:rsid w:val="00755F51"/>
    <w:rsid w:val="0075665C"/>
    <w:rsid w:val="007566D0"/>
    <w:rsid w:val="00756827"/>
    <w:rsid w:val="00756ABA"/>
    <w:rsid w:val="00760C8C"/>
    <w:rsid w:val="00761753"/>
    <w:rsid w:val="00762352"/>
    <w:rsid w:val="00762BBD"/>
    <w:rsid w:val="007637D6"/>
    <w:rsid w:val="00763F1C"/>
    <w:rsid w:val="00764625"/>
    <w:rsid w:val="00764AE7"/>
    <w:rsid w:val="00764FE1"/>
    <w:rsid w:val="0076577B"/>
    <w:rsid w:val="00765C47"/>
    <w:rsid w:val="0076766A"/>
    <w:rsid w:val="00767A2B"/>
    <w:rsid w:val="00767E92"/>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83B"/>
    <w:rsid w:val="00782908"/>
    <w:rsid w:val="0078299C"/>
    <w:rsid w:val="00782B5F"/>
    <w:rsid w:val="0078491F"/>
    <w:rsid w:val="00784AAF"/>
    <w:rsid w:val="00785280"/>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1C88"/>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2D79"/>
    <w:rsid w:val="007B46BF"/>
    <w:rsid w:val="007B5842"/>
    <w:rsid w:val="007B6213"/>
    <w:rsid w:val="007B6D8E"/>
    <w:rsid w:val="007B7ACE"/>
    <w:rsid w:val="007B7B8F"/>
    <w:rsid w:val="007C08C2"/>
    <w:rsid w:val="007C0DC7"/>
    <w:rsid w:val="007C139C"/>
    <w:rsid w:val="007C1A22"/>
    <w:rsid w:val="007C1AC4"/>
    <w:rsid w:val="007C1FC9"/>
    <w:rsid w:val="007C2607"/>
    <w:rsid w:val="007C2A44"/>
    <w:rsid w:val="007C2A9F"/>
    <w:rsid w:val="007C2B6D"/>
    <w:rsid w:val="007C3268"/>
    <w:rsid w:val="007C32E1"/>
    <w:rsid w:val="007C364C"/>
    <w:rsid w:val="007C3ED8"/>
    <w:rsid w:val="007C4262"/>
    <w:rsid w:val="007C454A"/>
    <w:rsid w:val="007C5A19"/>
    <w:rsid w:val="007C5C98"/>
    <w:rsid w:val="007C5CB2"/>
    <w:rsid w:val="007D12EA"/>
    <w:rsid w:val="007D1548"/>
    <w:rsid w:val="007D2CBD"/>
    <w:rsid w:val="007D374D"/>
    <w:rsid w:val="007D41F8"/>
    <w:rsid w:val="007D527A"/>
    <w:rsid w:val="007D6635"/>
    <w:rsid w:val="007D798F"/>
    <w:rsid w:val="007D7A3B"/>
    <w:rsid w:val="007E0FCC"/>
    <w:rsid w:val="007E14EE"/>
    <w:rsid w:val="007E1738"/>
    <w:rsid w:val="007E179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0D8"/>
    <w:rsid w:val="007F3393"/>
    <w:rsid w:val="007F3BA1"/>
    <w:rsid w:val="007F3F97"/>
    <w:rsid w:val="007F3FCB"/>
    <w:rsid w:val="007F41FD"/>
    <w:rsid w:val="007F44DE"/>
    <w:rsid w:val="007F4671"/>
    <w:rsid w:val="007F55E8"/>
    <w:rsid w:val="007F6192"/>
    <w:rsid w:val="007F63D9"/>
    <w:rsid w:val="007F6AFF"/>
    <w:rsid w:val="0080086C"/>
    <w:rsid w:val="008012B6"/>
    <w:rsid w:val="00802016"/>
    <w:rsid w:val="0080266A"/>
    <w:rsid w:val="00803AC9"/>
    <w:rsid w:val="00803FBB"/>
    <w:rsid w:val="00804222"/>
    <w:rsid w:val="0080439F"/>
    <w:rsid w:val="008043A8"/>
    <w:rsid w:val="00804BFA"/>
    <w:rsid w:val="00805DD3"/>
    <w:rsid w:val="00807DB1"/>
    <w:rsid w:val="008108AC"/>
    <w:rsid w:val="008115FD"/>
    <w:rsid w:val="0081169C"/>
    <w:rsid w:val="00811A99"/>
    <w:rsid w:val="008124D7"/>
    <w:rsid w:val="0081430E"/>
    <w:rsid w:val="00814341"/>
    <w:rsid w:val="00814758"/>
    <w:rsid w:val="008149EF"/>
    <w:rsid w:val="008152E1"/>
    <w:rsid w:val="00815A6D"/>
    <w:rsid w:val="00815E41"/>
    <w:rsid w:val="00815F2C"/>
    <w:rsid w:val="0081611B"/>
    <w:rsid w:val="008203B4"/>
    <w:rsid w:val="00821B92"/>
    <w:rsid w:val="008221C1"/>
    <w:rsid w:val="00822D9C"/>
    <w:rsid w:val="0082342F"/>
    <w:rsid w:val="0082346B"/>
    <w:rsid w:val="00823672"/>
    <w:rsid w:val="00824331"/>
    <w:rsid w:val="008244BD"/>
    <w:rsid w:val="0082560D"/>
    <w:rsid w:val="008256F5"/>
    <w:rsid w:val="0082574D"/>
    <w:rsid w:val="0082602C"/>
    <w:rsid w:val="008263FA"/>
    <w:rsid w:val="00826A26"/>
    <w:rsid w:val="00826D36"/>
    <w:rsid w:val="0082735C"/>
    <w:rsid w:val="008277E7"/>
    <w:rsid w:val="00827B5E"/>
    <w:rsid w:val="00827E27"/>
    <w:rsid w:val="00827EE7"/>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0417"/>
    <w:rsid w:val="00840EB7"/>
    <w:rsid w:val="00841F00"/>
    <w:rsid w:val="0084279D"/>
    <w:rsid w:val="00843907"/>
    <w:rsid w:val="00843E0F"/>
    <w:rsid w:val="00845096"/>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2553"/>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87B"/>
    <w:rsid w:val="00887FBA"/>
    <w:rsid w:val="008901AF"/>
    <w:rsid w:val="00890387"/>
    <w:rsid w:val="00890E92"/>
    <w:rsid w:val="0089101A"/>
    <w:rsid w:val="00891027"/>
    <w:rsid w:val="008911DD"/>
    <w:rsid w:val="00891BA4"/>
    <w:rsid w:val="00891CEE"/>
    <w:rsid w:val="00891DE7"/>
    <w:rsid w:val="00891EAC"/>
    <w:rsid w:val="0089272A"/>
    <w:rsid w:val="008942E7"/>
    <w:rsid w:val="00894456"/>
    <w:rsid w:val="0089571C"/>
    <w:rsid w:val="00896860"/>
    <w:rsid w:val="00897286"/>
    <w:rsid w:val="008974C3"/>
    <w:rsid w:val="00897554"/>
    <w:rsid w:val="00897D90"/>
    <w:rsid w:val="008A0478"/>
    <w:rsid w:val="008A0549"/>
    <w:rsid w:val="008A0798"/>
    <w:rsid w:val="008A11B1"/>
    <w:rsid w:val="008A1B8D"/>
    <w:rsid w:val="008A1C07"/>
    <w:rsid w:val="008A1C8A"/>
    <w:rsid w:val="008A28C4"/>
    <w:rsid w:val="008A290D"/>
    <w:rsid w:val="008A29C2"/>
    <w:rsid w:val="008A41E6"/>
    <w:rsid w:val="008A4FF2"/>
    <w:rsid w:val="008A517B"/>
    <w:rsid w:val="008A54C8"/>
    <w:rsid w:val="008A5873"/>
    <w:rsid w:val="008A6519"/>
    <w:rsid w:val="008A663E"/>
    <w:rsid w:val="008A71D0"/>
    <w:rsid w:val="008A78AA"/>
    <w:rsid w:val="008B048F"/>
    <w:rsid w:val="008B0C67"/>
    <w:rsid w:val="008B1088"/>
    <w:rsid w:val="008B2127"/>
    <w:rsid w:val="008B230F"/>
    <w:rsid w:val="008B3094"/>
    <w:rsid w:val="008B3135"/>
    <w:rsid w:val="008B3495"/>
    <w:rsid w:val="008B3D40"/>
    <w:rsid w:val="008B6065"/>
    <w:rsid w:val="008B60E2"/>
    <w:rsid w:val="008B741E"/>
    <w:rsid w:val="008B7475"/>
    <w:rsid w:val="008B7DBD"/>
    <w:rsid w:val="008B7DF5"/>
    <w:rsid w:val="008B7FDF"/>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201"/>
    <w:rsid w:val="008D3349"/>
    <w:rsid w:val="008D3482"/>
    <w:rsid w:val="008D369E"/>
    <w:rsid w:val="008D36D9"/>
    <w:rsid w:val="008D36F3"/>
    <w:rsid w:val="008D433F"/>
    <w:rsid w:val="008D559F"/>
    <w:rsid w:val="008D619C"/>
    <w:rsid w:val="008D66A2"/>
    <w:rsid w:val="008D78A8"/>
    <w:rsid w:val="008E135E"/>
    <w:rsid w:val="008E16F9"/>
    <w:rsid w:val="008E1C65"/>
    <w:rsid w:val="008E2491"/>
    <w:rsid w:val="008E2621"/>
    <w:rsid w:val="008E2D1E"/>
    <w:rsid w:val="008E3889"/>
    <w:rsid w:val="008E3C49"/>
    <w:rsid w:val="008E3E24"/>
    <w:rsid w:val="008E452B"/>
    <w:rsid w:val="008E4F28"/>
    <w:rsid w:val="008E5722"/>
    <w:rsid w:val="008E5E4F"/>
    <w:rsid w:val="008E6320"/>
    <w:rsid w:val="008E67B7"/>
    <w:rsid w:val="008E7560"/>
    <w:rsid w:val="008E7B96"/>
    <w:rsid w:val="008F016B"/>
    <w:rsid w:val="008F0291"/>
    <w:rsid w:val="008F04FB"/>
    <w:rsid w:val="008F09B0"/>
    <w:rsid w:val="008F0A87"/>
    <w:rsid w:val="008F1F71"/>
    <w:rsid w:val="008F221D"/>
    <w:rsid w:val="008F2CE2"/>
    <w:rsid w:val="008F3DDD"/>
    <w:rsid w:val="008F4918"/>
    <w:rsid w:val="008F4F89"/>
    <w:rsid w:val="008F532E"/>
    <w:rsid w:val="008F5DB7"/>
    <w:rsid w:val="008F63B5"/>
    <w:rsid w:val="008F7ACA"/>
    <w:rsid w:val="009000CE"/>
    <w:rsid w:val="009002BF"/>
    <w:rsid w:val="009005B5"/>
    <w:rsid w:val="009007EE"/>
    <w:rsid w:val="00902308"/>
    <w:rsid w:val="009024EA"/>
    <w:rsid w:val="009026B7"/>
    <w:rsid w:val="009026F3"/>
    <w:rsid w:val="00902837"/>
    <w:rsid w:val="00903182"/>
    <w:rsid w:val="0090340B"/>
    <w:rsid w:val="0090361C"/>
    <w:rsid w:val="00903774"/>
    <w:rsid w:val="0090384F"/>
    <w:rsid w:val="00903F23"/>
    <w:rsid w:val="009048B0"/>
    <w:rsid w:val="00904932"/>
    <w:rsid w:val="00904E40"/>
    <w:rsid w:val="00905291"/>
    <w:rsid w:val="00905F26"/>
    <w:rsid w:val="00906CB5"/>
    <w:rsid w:val="00907A9B"/>
    <w:rsid w:val="009102B5"/>
    <w:rsid w:val="00910550"/>
    <w:rsid w:val="00910610"/>
    <w:rsid w:val="00911005"/>
    <w:rsid w:val="00911671"/>
    <w:rsid w:val="009116F0"/>
    <w:rsid w:val="00911700"/>
    <w:rsid w:val="009117F0"/>
    <w:rsid w:val="00911BA2"/>
    <w:rsid w:val="00911E06"/>
    <w:rsid w:val="00911F8E"/>
    <w:rsid w:val="00912551"/>
    <w:rsid w:val="00912B1B"/>
    <w:rsid w:val="00914D48"/>
    <w:rsid w:val="009151CD"/>
    <w:rsid w:val="00915491"/>
    <w:rsid w:val="00915D46"/>
    <w:rsid w:val="009170DE"/>
    <w:rsid w:val="009172F2"/>
    <w:rsid w:val="00917FC3"/>
    <w:rsid w:val="00920AEA"/>
    <w:rsid w:val="00921339"/>
    <w:rsid w:val="00921F40"/>
    <w:rsid w:val="009228C1"/>
    <w:rsid w:val="00923F2E"/>
    <w:rsid w:val="00924618"/>
    <w:rsid w:val="00924DCE"/>
    <w:rsid w:val="00924FA7"/>
    <w:rsid w:val="009255E5"/>
    <w:rsid w:val="00925847"/>
    <w:rsid w:val="00926667"/>
    <w:rsid w:val="00926B3C"/>
    <w:rsid w:val="00927F90"/>
    <w:rsid w:val="00930011"/>
    <w:rsid w:val="009305F8"/>
    <w:rsid w:val="00930BAA"/>
    <w:rsid w:val="00930D2A"/>
    <w:rsid w:val="00931C96"/>
    <w:rsid w:val="00932EB3"/>
    <w:rsid w:val="009331EF"/>
    <w:rsid w:val="009333BB"/>
    <w:rsid w:val="0093373D"/>
    <w:rsid w:val="009343D4"/>
    <w:rsid w:val="0093456C"/>
    <w:rsid w:val="0093462D"/>
    <w:rsid w:val="00934778"/>
    <w:rsid w:val="0093491D"/>
    <w:rsid w:val="009356C1"/>
    <w:rsid w:val="00935B33"/>
    <w:rsid w:val="0094153D"/>
    <w:rsid w:val="009415EB"/>
    <w:rsid w:val="00941BB7"/>
    <w:rsid w:val="009437E9"/>
    <w:rsid w:val="00943A67"/>
    <w:rsid w:val="00943BB1"/>
    <w:rsid w:val="00943DCF"/>
    <w:rsid w:val="00943EFA"/>
    <w:rsid w:val="00944FB4"/>
    <w:rsid w:val="0094630D"/>
    <w:rsid w:val="00946FA9"/>
    <w:rsid w:val="0094735E"/>
    <w:rsid w:val="0094743F"/>
    <w:rsid w:val="00947491"/>
    <w:rsid w:val="00947802"/>
    <w:rsid w:val="00947C07"/>
    <w:rsid w:val="00947E94"/>
    <w:rsid w:val="00950161"/>
    <w:rsid w:val="00950382"/>
    <w:rsid w:val="00951443"/>
    <w:rsid w:val="0095159B"/>
    <w:rsid w:val="00951A0A"/>
    <w:rsid w:val="00951DA5"/>
    <w:rsid w:val="00952078"/>
    <w:rsid w:val="00952282"/>
    <w:rsid w:val="009526B8"/>
    <w:rsid w:val="00953446"/>
    <w:rsid w:val="009534CC"/>
    <w:rsid w:val="00953CA5"/>
    <w:rsid w:val="00954742"/>
    <w:rsid w:val="00954E51"/>
    <w:rsid w:val="00955129"/>
    <w:rsid w:val="0095537B"/>
    <w:rsid w:val="009553C6"/>
    <w:rsid w:val="00955F2D"/>
    <w:rsid w:val="00956341"/>
    <w:rsid w:val="009566FF"/>
    <w:rsid w:val="0095680A"/>
    <w:rsid w:val="00956F82"/>
    <w:rsid w:val="0095745C"/>
    <w:rsid w:val="00957496"/>
    <w:rsid w:val="00960762"/>
    <w:rsid w:val="00960CD0"/>
    <w:rsid w:val="00960F94"/>
    <w:rsid w:val="009611F2"/>
    <w:rsid w:val="00961E1B"/>
    <w:rsid w:val="009635E7"/>
    <w:rsid w:val="00963870"/>
    <w:rsid w:val="00963E16"/>
    <w:rsid w:val="00964467"/>
    <w:rsid w:val="00965010"/>
    <w:rsid w:val="00965A1B"/>
    <w:rsid w:val="00965C96"/>
    <w:rsid w:val="00965F4F"/>
    <w:rsid w:val="00966D46"/>
    <w:rsid w:val="009678F5"/>
    <w:rsid w:val="00967D30"/>
    <w:rsid w:val="00970341"/>
    <w:rsid w:val="009706B2"/>
    <w:rsid w:val="0097078D"/>
    <w:rsid w:val="009709BF"/>
    <w:rsid w:val="00972124"/>
    <w:rsid w:val="00972442"/>
    <w:rsid w:val="00974B9D"/>
    <w:rsid w:val="00974DC8"/>
    <w:rsid w:val="0097529F"/>
    <w:rsid w:val="009754A0"/>
    <w:rsid w:val="00975876"/>
    <w:rsid w:val="00975A3C"/>
    <w:rsid w:val="00976350"/>
    <w:rsid w:val="0097671A"/>
    <w:rsid w:val="009769C8"/>
    <w:rsid w:val="009774B8"/>
    <w:rsid w:val="0098003F"/>
    <w:rsid w:val="00980064"/>
    <w:rsid w:val="00980810"/>
    <w:rsid w:val="00980C61"/>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807"/>
    <w:rsid w:val="00997B72"/>
    <w:rsid w:val="009A0216"/>
    <w:rsid w:val="009A02AB"/>
    <w:rsid w:val="009A0C0A"/>
    <w:rsid w:val="009A1058"/>
    <w:rsid w:val="009A157A"/>
    <w:rsid w:val="009A24E2"/>
    <w:rsid w:val="009A2965"/>
    <w:rsid w:val="009A3621"/>
    <w:rsid w:val="009A37D2"/>
    <w:rsid w:val="009A3EAF"/>
    <w:rsid w:val="009A49C9"/>
    <w:rsid w:val="009A4BAC"/>
    <w:rsid w:val="009A5641"/>
    <w:rsid w:val="009A58B4"/>
    <w:rsid w:val="009A5F4B"/>
    <w:rsid w:val="009A6887"/>
    <w:rsid w:val="009A69E5"/>
    <w:rsid w:val="009A70E0"/>
    <w:rsid w:val="009A73FF"/>
    <w:rsid w:val="009B013E"/>
    <w:rsid w:val="009B0853"/>
    <w:rsid w:val="009B1E06"/>
    <w:rsid w:val="009B26D1"/>
    <w:rsid w:val="009B2EB4"/>
    <w:rsid w:val="009B4E7F"/>
    <w:rsid w:val="009B4FDA"/>
    <w:rsid w:val="009B5DB6"/>
    <w:rsid w:val="009B6005"/>
    <w:rsid w:val="009B6586"/>
    <w:rsid w:val="009B6C2A"/>
    <w:rsid w:val="009B6E8C"/>
    <w:rsid w:val="009B739A"/>
    <w:rsid w:val="009C0E2A"/>
    <w:rsid w:val="009C1D42"/>
    <w:rsid w:val="009C2256"/>
    <w:rsid w:val="009C2B83"/>
    <w:rsid w:val="009C4033"/>
    <w:rsid w:val="009C5632"/>
    <w:rsid w:val="009C5A8F"/>
    <w:rsid w:val="009C60CE"/>
    <w:rsid w:val="009C674C"/>
    <w:rsid w:val="009D0B9E"/>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B72"/>
    <w:rsid w:val="009E3CC2"/>
    <w:rsid w:val="009E3DEA"/>
    <w:rsid w:val="009E4023"/>
    <w:rsid w:val="009E43D9"/>
    <w:rsid w:val="009E44CB"/>
    <w:rsid w:val="009E58E6"/>
    <w:rsid w:val="009E7157"/>
    <w:rsid w:val="009F181B"/>
    <w:rsid w:val="009F1D24"/>
    <w:rsid w:val="009F23BB"/>
    <w:rsid w:val="009F3208"/>
    <w:rsid w:val="009F348B"/>
    <w:rsid w:val="009F37D6"/>
    <w:rsid w:val="009F3F0F"/>
    <w:rsid w:val="009F4106"/>
    <w:rsid w:val="009F415D"/>
    <w:rsid w:val="009F62E1"/>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3E4"/>
    <w:rsid w:val="00A10548"/>
    <w:rsid w:val="00A10714"/>
    <w:rsid w:val="00A10BB1"/>
    <w:rsid w:val="00A10F86"/>
    <w:rsid w:val="00A111ED"/>
    <w:rsid w:val="00A117F6"/>
    <w:rsid w:val="00A120BC"/>
    <w:rsid w:val="00A12278"/>
    <w:rsid w:val="00A12638"/>
    <w:rsid w:val="00A13874"/>
    <w:rsid w:val="00A13A83"/>
    <w:rsid w:val="00A13CE1"/>
    <w:rsid w:val="00A13E00"/>
    <w:rsid w:val="00A14932"/>
    <w:rsid w:val="00A1498C"/>
    <w:rsid w:val="00A14B29"/>
    <w:rsid w:val="00A1628F"/>
    <w:rsid w:val="00A163A2"/>
    <w:rsid w:val="00A165D5"/>
    <w:rsid w:val="00A16C89"/>
    <w:rsid w:val="00A171A9"/>
    <w:rsid w:val="00A17B7C"/>
    <w:rsid w:val="00A20096"/>
    <w:rsid w:val="00A20642"/>
    <w:rsid w:val="00A20643"/>
    <w:rsid w:val="00A217D2"/>
    <w:rsid w:val="00A21EF8"/>
    <w:rsid w:val="00A22677"/>
    <w:rsid w:val="00A23384"/>
    <w:rsid w:val="00A241E8"/>
    <w:rsid w:val="00A24479"/>
    <w:rsid w:val="00A24BB5"/>
    <w:rsid w:val="00A255FA"/>
    <w:rsid w:val="00A26AB9"/>
    <w:rsid w:val="00A26EB1"/>
    <w:rsid w:val="00A27325"/>
    <w:rsid w:val="00A2772B"/>
    <w:rsid w:val="00A3031B"/>
    <w:rsid w:val="00A3056B"/>
    <w:rsid w:val="00A30602"/>
    <w:rsid w:val="00A31439"/>
    <w:rsid w:val="00A327A7"/>
    <w:rsid w:val="00A32D79"/>
    <w:rsid w:val="00A32E08"/>
    <w:rsid w:val="00A33203"/>
    <w:rsid w:val="00A33969"/>
    <w:rsid w:val="00A33C81"/>
    <w:rsid w:val="00A3455E"/>
    <w:rsid w:val="00A3674D"/>
    <w:rsid w:val="00A36770"/>
    <w:rsid w:val="00A37025"/>
    <w:rsid w:val="00A4096D"/>
    <w:rsid w:val="00A40EE1"/>
    <w:rsid w:val="00A40EE2"/>
    <w:rsid w:val="00A42D29"/>
    <w:rsid w:val="00A430B5"/>
    <w:rsid w:val="00A46D6B"/>
    <w:rsid w:val="00A47064"/>
    <w:rsid w:val="00A4760D"/>
    <w:rsid w:val="00A47616"/>
    <w:rsid w:val="00A47C7A"/>
    <w:rsid w:val="00A50F85"/>
    <w:rsid w:val="00A51008"/>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0D4"/>
    <w:rsid w:val="00A62987"/>
    <w:rsid w:val="00A62C1E"/>
    <w:rsid w:val="00A62D75"/>
    <w:rsid w:val="00A62E72"/>
    <w:rsid w:val="00A63636"/>
    <w:rsid w:val="00A639B7"/>
    <w:rsid w:val="00A63D66"/>
    <w:rsid w:val="00A651F2"/>
    <w:rsid w:val="00A654B8"/>
    <w:rsid w:val="00A658E3"/>
    <w:rsid w:val="00A65D12"/>
    <w:rsid w:val="00A65E3A"/>
    <w:rsid w:val="00A66738"/>
    <w:rsid w:val="00A6688C"/>
    <w:rsid w:val="00A67627"/>
    <w:rsid w:val="00A67B22"/>
    <w:rsid w:val="00A67CEE"/>
    <w:rsid w:val="00A70663"/>
    <w:rsid w:val="00A7106F"/>
    <w:rsid w:val="00A71F5F"/>
    <w:rsid w:val="00A725EA"/>
    <w:rsid w:val="00A73E5C"/>
    <w:rsid w:val="00A741CC"/>
    <w:rsid w:val="00A743D9"/>
    <w:rsid w:val="00A74AAC"/>
    <w:rsid w:val="00A74C59"/>
    <w:rsid w:val="00A761EF"/>
    <w:rsid w:val="00A76B10"/>
    <w:rsid w:val="00A77315"/>
    <w:rsid w:val="00A775F4"/>
    <w:rsid w:val="00A801EB"/>
    <w:rsid w:val="00A80FEB"/>
    <w:rsid w:val="00A81191"/>
    <w:rsid w:val="00A813AC"/>
    <w:rsid w:val="00A813DA"/>
    <w:rsid w:val="00A82CF2"/>
    <w:rsid w:val="00A850D2"/>
    <w:rsid w:val="00A85B3D"/>
    <w:rsid w:val="00A85B6E"/>
    <w:rsid w:val="00A863D5"/>
    <w:rsid w:val="00A86C9C"/>
    <w:rsid w:val="00A86E16"/>
    <w:rsid w:val="00A8716C"/>
    <w:rsid w:val="00A87560"/>
    <w:rsid w:val="00A87DE5"/>
    <w:rsid w:val="00A87E71"/>
    <w:rsid w:val="00A9009F"/>
    <w:rsid w:val="00A90364"/>
    <w:rsid w:val="00A90581"/>
    <w:rsid w:val="00A90FCD"/>
    <w:rsid w:val="00A91940"/>
    <w:rsid w:val="00A91AFF"/>
    <w:rsid w:val="00A9216B"/>
    <w:rsid w:val="00A9217C"/>
    <w:rsid w:val="00A92650"/>
    <w:rsid w:val="00A928D3"/>
    <w:rsid w:val="00A92D98"/>
    <w:rsid w:val="00A92F94"/>
    <w:rsid w:val="00A93979"/>
    <w:rsid w:val="00A93A74"/>
    <w:rsid w:val="00A94C55"/>
    <w:rsid w:val="00A95533"/>
    <w:rsid w:val="00A95B74"/>
    <w:rsid w:val="00A95CF9"/>
    <w:rsid w:val="00A95F6D"/>
    <w:rsid w:val="00A966A5"/>
    <w:rsid w:val="00A96A21"/>
    <w:rsid w:val="00A96CE2"/>
    <w:rsid w:val="00A97229"/>
    <w:rsid w:val="00A9742C"/>
    <w:rsid w:val="00A97B27"/>
    <w:rsid w:val="00AA010F"/>
    <w:rsid w:val="00AA07A0"/>
    <w:rsid w:val="00AA0F67"/>
    <w:rsid w:val="00AA1A12"/>
    <w:rsid w:val="00AA2BB8"/>
    <w:rsid w:val="00AA3463"/>
    <w:rsid w:val="00AA3769"/>
    <w:rsid w:val="00AA3A28"/>
    <w:rsid w:val="00AA5D23"/>
    <w:rsid w:val="00AA67C0"/>
    <w:rsid w:val="00AA76F1"/>
    <w:rsid w:val="00AB01E2"/>
    <w:rsid w:val="00AB026B"/>
    <w:rsid w:val="00AB0431"/>
    <w:rsid w:val="00AB08B1"/>
    <w:rsid w:val="00AB10C2"/>
    <w:rsid w:val="00AB11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7284"/>
    <w:rsid w:val="00AB7B8B"/>
    <w:rsid w:val="00AB7E25"/>
    <w:rsid w:val="00AC0125"/>
    <w:rsid w:val="00AC0489"/>
    <w:rsid w:val="00AC0646"/>
    <w:rsid w:val="00AC1418"/>
    <w:rsid w:val="00AC161E"/>
    <w:rsid w:val="00AC2111"/>
    <w:rsid w:val="00AC23D5"/>
    <w:rsid w:val="00AC243A"/>
    <w:rsid w:val="00AC2D23"/>
    <w:rsid w:val="00AC41BF"/>
    <w:rsid w:val="00AC5429"/>
    <w:rsid w:val="00AC5922"/>
    <w:rsid w:val="00AC5AB3"/>
    <w:rsid w:val="00AC654A"/>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388"/>
    <w:rsid w:val="00AE24A6"/>
    <w:rsid w:val="00AE2640"/>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2DB"/>
    <w:rsid w:val="00AF230A"/>
    <w:rsid w:val="00AF2A54"/>
    <w:rsid w:val="00AF4ABD"/>
    <w:rsid w:val="00AF6919"/>
    <w:rsid w:val="00AF7190"/>
    <w:rsid w:val="00AF73DB"/>
    <w:rsid w:val="00B0123F"/>
    <w:rsid w:val="00B01334"/>
    <w:rsid w:val="00B01CEA"/>
    <w:rsid w:val="00B02670"/>
    <w:rsid w:val="00B02904"/>
    <w:rsid w:val="00B032DE"/>
    <w:rsid w:val="00B036F5"/>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4483"/>
    <w:rsid w:val="00B15367"/>
    <w:rsid w:val="00B155D4"/>
    <w:rsid w:val="00B1599B"/>
    <w:rsid w:val="00B15FA1"/>
    <w:rsid w:val="00B16858"/>
    <w:rsid w:val="00B17243"/>
    <w:rsid w:val="00B20541"/>
    <w:rsid w:val="00B20856"/>
    <w:rsid w:val="00B20988"/>
    <w:rsid w:val="00B20D5E"/>
    <w:rsid w:val="00B22C72"/>
    <w:rsid w:val="00B2300A"/>
    <w:rsid w:val="00B231E6"/>
    <w:rsid w:val="00B2403F"/>
    <w:rsid w:val="00B240EA"/>
    <w:rsid w:val="00B24CA0"/>
    <w:rsid w:val="00B25161"/>
    <w:rsid w:val="00B25A9D"/>
    <w:rsid w:val="00B268B5"/>
    <w:rsid w:val="00B273D9"/>
    <w:rsid w:val="00B2754C"/>
    <w:rsid w:val="00B27BA5"/>
    <w:rsid w:val="00B312CC"/>
    <w:rsid w:val="00B31C63"/>
    <w:rsid w:val="00B33BA6"/>
    <w:rsid w:val="00B33F67"/>
    <w:rsid w:val="00B33F8E"/>
    <w:rsid w:val="00B3462E"/>
    <w:rsid w:val="00B3489D"/>
    <w:rsid w:val="00B348A7"/>
    <w:rsid w:val="00B34919"/>
    <w:rsid w:val="00B34D52"/>
    <w:rsid w:val="00B35A85"/>
    <w:rsid w:val="00B3653B"/>
    <w:rsid w:val="00B369DC"/>
    <w:rsid w:val="00B36ECA"/>
    <w:rsid w:val="00B379E5"/>
    <w:rsid w:val="00B37A83"/>
    <w:rsid w:val="00B37D47"/>
    <w:rsid w:val="00B40046"/>
    <w:rsid w:val="00B40185"/>
    <w:rsid w:val="00B408EE"/>
    <w:rsid w:val="00B409C3"/>
    <w:rsid w:val="00B40AB5"/>
    <w:rsid w:val="00B42C15"/>
    <w:rsid w:val="00B433C1"/>
    <w:rsid w:val="00B438CD"/>
    <w:rsid w:val="00B43A02"/>
    <w:rsid w:val="00B43B37"/>
    <w:rsid w:val="00B453D5"/>
    <w:rsid w:val="00B455C9"/>
    <w:rsid w:val="00B45AFC"/>
    <w:rsid w:val="00B46259"/>
    <w:rsid w:val="00B4665F"/>
    <w:rsid w:val="00B46857"/>
    <w:rsid w:val="00B505CD"/>
    <w:rsid w:val="00B50A83"/>
    <w:rsid w:val="00B50F8A"/>
    <w:rsid w:val="00B51029"/>
    <w:rsid w:val="00B5154D"/>
    <w:rsid w:val="00B51C5C"/>
    <w:rsid w:val="00B51FC7"/>
    <w:rsid w:val="00B5224F"/>
    <w:rsid w:val="00B5226C"/>
    <w:rsid w:val="00B52DDE"/>
    <w:rsid w:val="00B53F90"/>
    <w:rsid w:val="00B54491"/>
    <w:rsid w:val="00B54E6C"/>
    <w:rsid w:val="00B55430"/>
    <w:rsid w:val="00B55A87"/>
    <w:rsid w:val="00B55C3D"/>
    <w:rsid w:val="00B56C26"/>
    <w:rsid w:val="00B56D0B"/>
    <w:rsid w:val="00B5712D"/>
    <w:rsid w:val="00B5766A"/>
    <w:rsid w:val="00B57976"/>
    <w:rsid w:val="00B605F5"/>
    <w:rsid w:val="00B60990"/>
    <w:rsid w:val="00B609A4"/>
    <w:rsid w:val="00B61551"/>
    <w:rsid w:val="00B61941"/>
    <w:rsid w:val="00B61DC4"/>
    <w:rsid w:val="00B63617"/>
    <w:rsid w:val="00B6577D"/>
    <w:rsid w:val="00B659D3"/>
    <w:rsid w:val="00B666CF"/>
    <w:rsid w:val="00B670DF"/>
    <w:rsid w:val="00B67B96"/>
    <w:rsid w:val="00B67BA4"/>
    <w:rsid w:val="00B67F4C"/>
    <w:rsid w:val="00B709CA"/>
    <w:rsid w:val="00B70C7F"/>
    <w:rsid w:val="00B717AA"/>
    <w:rsid w:val="00B71866"/>
    <w:rsid w:val="00B71B11"/>
    <w:rsid w:val="00B71C5E"/>
    <w:rsid w:val="00B7212B"/>
    <w:rsid w:val="00B72189"/>
    <w:rsid w:val="00B72CF0"/>
    <w:rsid w:val="00B73622"/>
    <w:rsid w:val="00B73BA4"/>
    <w:rsid w:val="00B73FC4"/>
    <w:rsid w:val="00B771D7"/>
    <w:rsid w:val="00B801B2"/>
    <w:rsid w:val="00B80BA1"/>
    <w:rsid w:val="00B81B26"/>
    <w:rsid w:val="00B81FDB"/>
    <w:rsid w:val="00B8277D"/>
    <w:rsid w:val="00B830A2"/>
    <w:rsid w:val="00B83214"/>
    <w:rsid w:val="00B83404"/>
    <w:rsid w:val="00B842B5"/>
    <w:rsid w:val="00B8475D"/>
    <w:rsid w:val="00B84C5D"/>
    <w:rsid w:val="00B84EE3"/>
    <w:rsid w:val="00B85251"/>
    <w:rsid w:val="00B853CC"/>
    <w:rsid w:val="00B864A5"/>
    <w:rsid w:val="00B8661E"/>
    <w:rsid w:val="00B86927"/>
    <w:rsid w:val="00B86B6B"/>
    <w:rsid w:val="00B86B8B"/>
    <w:rsid w:val="00B86DB2"/>
    <w:rsid w:val="00B86E84"/>
    <w:rsid w:val="00B86E85"/>
    <w:rsid w:val="00B872D1"/>
    <w:rsid w:val="00B8753D"/>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4979"/>
    <w:rsid w:val="00BA5482"/>
    <w:rsid w:val="00BA55AE"/>
    <w:rsid w:val="00BA57AA"/>
    <w:rsid w:val="00BA6992"/>
    <w:rsid w:val="00BB07A1"/>
    <w:rsid w:val="00BB08ED"/>
    <w:rsid w:val="00BB0ACE"/>
    <w:rsid w:val="00BB0D13"/>
    <w:rsid w:val="00BB13E0"/>
    <w:rsid w:val="00BB1AA6"/>
    <w:rsid w:val="00BB2AAF"/>
    <w:rsid w:val="00BB2E5B"/>
    <w:rsid w:val="00BB32F3"/>
    <w:rsid w:val="00BB45A2"/>
    <w:rsid w:val="00BB4AAB"/>
    <w:rsid w:val="00BB54E7"/>
    <w:rsid w:val="00BB67B8"/>
    <w:rsid w:val="00BB6859"/>
    <w:rsid w:val="00BB6ADC"/>
    <w:rsid w:val="00BB6EA4"/>
    <w:rsid w:val="00BB78B5"/>
    <w:rsid w:val="00BB7A07"/>
    <w:rsid w:val="00BC060A"/>
    <w:rsid w:val="00BC0656"/>
    <w:rsid w:val="00BC08DD"/>
    <w:rsid w:val="00BC0C42"/>
    <w:rsid w:val="00BC114A"/>
    <w:rsid w:val="00BC1F7F"/>
    <w:rsid w:val="00BC2EF9"/>
    <w:rsid w:val="00BC3A91"/>
    <w:rsid w:val="00BC4520"/>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718"/>
    <w:rsid w:val="00BD7835"/>
    <w:rsid w:val="00BE0B65"/>
    <w:rsid w:val="00BE2F38"/>
    <w:rsid w:val="00BE326C"/>
    <w:rsid w:val="00BE365B"/>
    <w:rsid w:val="00BE4067"/>
    <w:rsid w:val="00BE4F11"/>
    <w:rsid w:val="00BE571C"/>
    <w:rsid w:val="00BE695B"/>
    <w:rsid w:val="00BE6D35"/>
    <w:rsid w:val="00BE7036"/>
    <w:rsid w:val="00BE7103"/>
    <w:rsid w:val="00BE7A42"/>
    <w:rsid w:val="00BE7B1A"/>
    <w:rsid w:val="00BF006D"/>
    <w:rsid w:val="00BF00F3"/>
    <w:rsid w:val="00BF04FB"/>
    <w:rsid w:val="00BF06C8"/>
    <w:rsid w:val="00BF0C35"/>
    <w:rsid w:val="00BF0CF7"/>
    <w:rsid w:val="00BF1393"/>
    <w:rsid w:val="00BF1C5E"/>
    <w:rsid w:val="00BF1E35"/>
    <w:rsid w:val="00BF277B"/>
    <w:rsid w:val="00BF2D9E"/>
    <w:rsid w:val="00BF3511"/>
    <w:rsid w:val="00BF3AB4"/>
    <w:rsid w:val="00BF4187"/>
    <w:rsid w:val="00BF45F7"/>
    <w:rsid w:val="00BF4652"/>
    <w:rsid w:val="00BF5B8F"/>
    <w:rsid w:val="00BF5D35"/>
    <w:rsid w:val="00BF5EAB"/>
    <w:rsid w:val="00BF7CAB"/>
    <w:rsid w:val="00BF7D80"/>
    <w:rsid w:val="00C0025D"/>
    <w:rsid w:val="00C00467"/>
    <w:rsid w:val="00C010E4"/>
    <w:rsid w:val="00C01C38"/>
    <w:rsid w:val="00C02692"/>
    <w:rsid w:val="00C02EB9"/>
    <w:rsid w:val="00C02F12"/>
    <w:rsid w:val="00C02FF5"/>
    <w:rsid w:val="00C03CB4"/>
    <w:rsid w:val="00C03D72"/>
    <w:rsid w:val="00C03EC6"/>
    <w:rsid w:val="00C041AB"/>
    <w:rsid w:val="00C04685"/>
    <w:rsid w:val="00C05F32"/>
    <w:rsid w:val="00C06B8F"/>
    <w:rsid w:val="00C07084"/>
    <w:rsid w:val="00C07AB1"/>
    <w:rsid w:val="00C10A6D"/>
    <w:rsid w:val="00C11043"/>
    <w:rsid w:val="00C11E87"/>
    <w:rsid w:val="00C12079"/>
    <w:rsid w:val="00C12403"/>
    <w:rsid w:val="00C1243C"/>
    <w:rsid w:val="00C12AD6"/>
    <w:rsid w:val="00C13FB5"/>
    <w:rsid w:val="00C146B3"/>
    <w:rsid w:val="00C149D9"/>
    <w:rsid w:val="00C14BC7"/>
    <w:rsid w:val="00C14F43"/>
    <w:rsid w:val="00C15786"/>
    <w:rsid w:val="00C1714A"/>
    <w:rsid w:val="00C172FF"/>
    <w:rsid w:val="00C17A3B"/>
    <w:rsid w:val="00C17C1D"/>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2BA4"/>
    <w:rsid w:val="00C332B5"/>
    <w:rsid w:val="00C334F4"/>
    <w:rsid w:val="00C3392D"/>
    <w:rsid w:val="00C3396A"/>
    <w:rsid w:val="00C33ED6"/>
    <w:rsid w:val="00C3454D"/>
    <w:rsid w:val="00C35B75"/>
    <w:rsid w:val="00C3681D"/>
    <w:rsid w:val="00C36888"/>
    <w:rsid w:val="00C369E6"/>
    <w:rsid w:val="00C36C23"/>
    <w:rsid w:val="00C375EA"/>
    <w:rsid w:val="00C408F8"/>
    <w:rsid w:val="00C40904"/>
    <w:rsid w:val="00C410ED"/>
    <w:rsid w:val="00C42898"/>
    <w:rsid w:val="00C43001"/>
    <w:rsid w:val="00C4363B"/>
    <w:rsid w:val="00C43AD8"/>
    <w:rsid w:val="00C453F5"/>
    <w:rsid w:val="00C463E3"/>
    <w:rsid w:val="00C4697D"/>
    <w:rsid w:val="00C469A5"/>
    <w:rsid w:val="00C47352"/>
    <w:rsid w:val="00C476A6"/>
    <w:rsid w:val="00C47E1D"/>
    <w:rsid w:val="00C5007F"/>
    <w:rsid w:val="00C510C6"/>
    <w:rsid w:val="00C519FB"/>
    <w:rsid w:val="00C52090"/>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372A"/>
    <w:rsid w:val="00C65558"/>
    <w:rsid w:val="00C66A52"/>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047"/>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3D3F"/>
    <w:rsid w:val="00C8421D"/>
    <w:rsid w:val="00C843AF"/>
    <w:rsid w:val="00C84957"/>
    <w:rsid w:val="00C84CC8"/>
    <w:rsid w:val="00C85E4C"/>
    <w:rsid w:val="00C86149"/>
    <w:rsid w:val="00C86B84"/>
    <w:rsid w:val="00C86F8D"/>
    <w:rsid w:val="00C9207A"/>
    <w:rsid w:val="00C93FA8"/>
    <w:rsid w:val="00C94EBD"/>
    <w:rsid w:val="00C95503"/>
    <w:rsid w:val="00C958EA"/>
    <w:rsid w:val="00C96297"/>
    <w:rsid w:val="00C964AD"/>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1DA"/>
    <w:rsid w:val="00CB0A72"/>
    <w:rsid w:val="00CB0DA3"/>
    <w:rsid w:val="00CB13C6"/>
    <w:rsid w:val="00CB18B4"/>
    <w:rsid w:val="00CB1C46"/>
    <w:rsid w:val="00CB1ED7"/>
    <w:rsid w:val="00CB20E5"/>
    <w:rsid w:val="00CB34A2"/>
    <w:rsid w:val="00CB39E0"/>
    <w:rsid w:val="00CB3A6E"/>
    <w:rsid w:val="00CB50DD"/>
    <w:rsid w:val="00CB5BE6"/>
    <w:rsid w:val="00CB5FBA"/>
    <w:rsid w:val="00CB69D6"/>
    <w:rsid w:val="00CB6EE1"/>
    <w:rsid w:val="00CB7DBA"/>
    <w:rsid w:val="00CC00A0"/>
    <w:rsid w:val="00CC0917"/>
    <w:rsid w:val="00CC1408"/>
    <w:rsid w:val="00CC15AB"/>
    <w:rsid w:val="00CC176D"/>
    <w:rsid w:val="00CC190A"/>
    <w:rsid w:val="00CC21DE"/>
    <w:rsid w:val="00CC2356"/>
    <w:rsid w:val="00CC3F24"/>
    <w:rsid w:val="00CC3FED"/>
    <w:rsid w:val="00CC415E"/>
    <w:rsid w:val="00CC489E"/>
    <w:rsid w:val="00CC625A"/>
    <w:rsid w:val="00CC634E"/>
    <w:rsid w:val="00CC7263"/>
    <w:rsid w:val="00CC7B98"/>
    <w:rsid w:val="00CD0295"/>
    <w:rsid w:val="00CD071F"/>
    <w:rsid w:val="00CD08AB"/>
    <w:rsid w:val="00CD0D03"/>
    <w:rsid w:val="00CD0FBC"/>
    <w:rsid w:val="00CD1148"/>
    <w:rsid w:val="00CD161C"/>
    <w:rsid w:val="00CD3D3A"/>
    <w:rsid w:val="00CD44AE"/>
    <w:rsid w:val="00CD474B"/>
    <w:rsid w:val="00CD4FE9"/>
    <w:rsid w:val="00CD6106"/>
    <w:rsid w:val="00CD6E4E"/>
    <w:rsid w:val="00CD6E9E"/>
    <w:rsid w:val="00CD73D9"/>
    <w:rsid w:val="00CD74B5"/>
    <w:rsid w:val="00CD79C5"/>
    <w:rsid w:val="00CE05AB"/>
    <w:rsid w:val="00CE100C"/>
    <w:rsid w:val="00CE1139"/>
    <w:rsid w:val="00CE1CE8"/>
    <w:rsid w:val="00CE2572"/>
    <w:rsid w:val="00CE25F8"/>
    <w:rsid w:val="00CE28F5"/>
    <w:rsid w:val="00CE2D39"/>
    <w:rsid w:val="00CE3DD4"/>
    <w:rsid w:val="00CE4BCD"/>
    <w:rsid w:val="00CE5122"/>
    <w:rsid w:val="00CE5A76"/>
    <w:rsid w:val="00CE61F3"/>
    <w:rsid w:val="00CE625C"/>
    <w:rsid w:val="00CE6EF5"/>
    <w:rsid w:val="00CE7219"/>
    <w:rsid w:val="00CE7EB2"/>
    <w:rsid w:val="00CF03E0"/>
    <w:rsid w:val="00CF0A94"/>
    <w:rsid w:val="00CF0AF1"/>
    <w:rsid w:val="00CF0B6A"/>
    <w:rsid w:val="00CF1749"/>
    <w:rsid w:val="00CF1E3D"/>
    <w:rsid w:val="00CF2696"/>
    <w:rsid w:val="00CF27C4"/>
    <w:rsid w:val="00CF289A"/>
    <w:rsid w:val="00CF3F95"/>
    <w:rsid w:val="00CF4EC7"/>
    <w:rsid w:val="00CF6299"/>
    <w:rsid w:val="00CF63C0"/>
    <w:rsid w:val="00CF657E"/>
    <w:rsid w:val="00CF69A7"/>
    <w:rsid w:val="00CF7178"/>
    <w:rsid w:val="00CF723B"/>
    <w:rsid w:val="00CF772C"/>
    <w:rsid w:val="00D00191"/>
    <w:rsid w:val="00D001D3"/>
    <w:rsid w:val="00D00430"/>
    <w:rsid w:val="00D018D5"/>
    <w:rsid w:val="00D020C1"/>
    <w:rsid w:val="00D02503"/>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1AC"/>
    <w:rsid w:val="00D077E3"/>
    <w:rsid w:val="00D07A59"/>
    <w:rsid w:val="00D11A66"/>
    <w:rsid w:val="00D12606"/>
    <w:rsid w:val="00D13146"/>
    <w:rsid w:val="00D131CE"/>
    <w:rsid w:val="00D15AA1"/>
    <w:rsid w:val="00D15B61"/>
    <w:rsid w:val="00D1665D"/>
    <w:rsid w:val="00D16794"/>
    <w:rsid w:val="00D17FD8"/>
    <w:rsid w:val="00D20529"/>
    <w:rsid w:val="00D20CBF"/>
    <w:rsid w:val="00D21052"/>
    <w:rsid w:val="00D21140"/>
    <w:rsid w:val="00D21EAA"/>
    <w:rsid w:val="00D21F29"/>
    <w:rsid w:val="00D225AB"/>
    <w:rsid w:val="00D228F8"/>
    <w:rsid w:val="00D22E02"/>
    <w:rsid w:val="00D22F11"/>
    <w:rsid w:val="00D2417D"/>
    <w:rsid w:val="00D24498"/>
    <w:rsid w:val="00D24615"/>
    <w:rsid w:val="00D24F15"/>
    <w:rsid w:val="00D25CBC"/>
    <w:rsid w:val="00D2679D"/>
    <w:rsid w:val="00D26F6F"/>
    <w:rsid w:val="00D27140"/>
    <w:rsid w:val="00D27467"/>
    <w:rsid w:val="00D300B3"/>
    <w:rsid w:val="00D30AF1"/>
    <w:rsid w:val="00D30F33"/>
    <w:rsid w:val="00D31457"/>
    <w:rsid w:val="00D317E5"/>
    <w:rsid w:val="00D31AB5"/>
    <w:rsid w:val="00D31E59"/>
    <w:rsid w:val="00D32975"/>
    <w:rsid w:val="00D3390D"/>
    <w:rsid w:val="00D34A84"/>
    <w:rsid w:val="00D34C54"/>
    <w:rsid w:val="00D34E49"/>
    <w:rsid w:val="00D3555C"/>
    <w:rsid w:val="00D3572A"/>
    <w:rsid w:val="00D35DEE"/>
    <w:rsid w:val="00D37150"/>
    <w:rsid w:val="00D37C0C"/>
    <w:rsid w:val="00D37FA9"/>
    <w:rsid w:val="00D40767"/>
    <w:rsid w:val="00D409A1"/>
    <w:rsid w:val="00D413B3"/>
    <w:rsid w:val="00D41EAD"/>
    <w:rsid w:val="00D42148"/>
    <w:rsid w:val="00D427E5"/>
    <w:rsid w:val="00D427E8"/>
    <w:rsid w:val="00D43B22"/>
    <w:rsid w:val="00D449C5"/>
    <w:rsid w:val="00D44E6F"/>
    <w:rsid w:val="00D44E98"/>
    <w:rsid w:val="00D453E5"/>
    <w:rsid w:val="00D45B4A"/>
    <w:rsid w:val="00D45F98"/>
    <w:rsid w:val="00D4643F"/>
    <w:rsid w:val="00D4696A"/>
    <w:rsid w:val="00D46EF2"/>
    <w:rsid w:val="00D4753F"/>
    <w:rsid w:val="00D475FE"/>
    <w:rsid w:val="00D47CED"/>
    <w:rsid w:val="00D50738"/>
    <w:rsid w:val="00D50B1D"/>
    <w:rsid w:val="00D5103B"/>
    <w:rsid w:val="00D51D34"/>
    <w:rsid w:val="00D52AE0"/>
    <w:rsid w:val="00D53EC0"/>
    <w:rsid w:val="00D53EE6"/>
    <w:rsid w:val="00D542B8"/>
    <w:rsid w:val="00D558DA"/>
    <w:rsid w:val="00D56F4A"/>
    <w:rsid w:val="00D57298"/>
    <w:rsid w:val="00D57F7D"/>
    <w:rsid w:val="00D60294"/>
    <w:rsid w:val="00D60DDD"/>
    <w:rsid w:val="00D60F1D"/>
    <w:rsid w:val="00D614DB"/>
    <w:rsid w:val="00D624B1"/>
    <w:rsid w:val="00D62A08"/>
    <w:rsid w:val="00D62BE4"/>
    <w:rsid w:val="00D62DBA"/>
    <w:rsid w:val="00D63102"/>
    <w:rsid w:val="00D647C5"/>
    <w:rsid w:val="00D64954"/>
    <w:rsid w:val="00D6512E"/>
    <w:rsid w:val="00D651D5"/>
    <w:rsid w:val="00D6593C"/>
    <w:rsid w:val="00D65F15"/>
    <w:rsid w:val="00D66260"/>
    <w:rsid w:val="00D6658E"/>
    <w:rsid w:val="00D6712B"/>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4D3"/>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22C"/>
    <w:rsid w:val="00DA3835"/>
    <w:rsid w:val="00DA4761"/>
    <w:rsid w:val="00DA47AA"/>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679E"/>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2820"/>
    <w:rsid w:val="00DD311B"/>
    <w:rsid w:val="00DD4294"/>
    <w:rsid w:val="00DD4813"/>
    <w:rsid w:val="00DD5B46"/>
    <w:rsid w:val="00DD6165"/>
    <w:rsid w:val="00DD6663"/>
    <w:rsid w:val="00DD66DA"/>
    <w:rsid w:val="00DD6EB8"/>
    <w:rsid w:val="00DD7917"/>
    <w:rsid w:val="00DE01CB"/>
    <w:rsid w:val="00DE0E25"/>
    <w:rsid w:val="00DE12DF"/>
    <w:rsid w:val="00DE17FF"/>
    <w:rsid w:val="00DE189A"/>
    <w:rsid w:val="00DE2DFB"/>
    <w:rsid w:val="00DE328D"/>
    <w:rsid w:val="00DE3712"/>
    <w:rsid w:val="00DE3B9C"/>
    <w:rsid w:val="00DE5141"/>
    <w:rsid w:val="00DE58A0"/>
    <w:rsid w:val="00DE58DB"/>
    <w:rsid w:val="00DE5B71"/>
    <w:rsid w:val="00DE5B96"/>
    <w:rsid w:val="00DE64E9"/>
    <w:rsid w:val="00DE6DA4"/>
    <w:rsid w:val="00DE73FB"/>
    <w:rsid w:val="00DE79BF"/>
    <w:rsid w:val="00DE79DB"/>
    <w:rsid w:val="00DF073E"/>
    <w:rsid w:val="00DF09CC"/>
    <w:rsid w:val="00DF14E7"/>
    <w:rsid w:val="00DF255B"/>
    <w:rsid w:val="00DF28F0"/>
    <w:rsid w:val="00DF29F1"/>
    <w:rsid w:val="00DF2F4F"/>
    <w:rsid w:val="00DF3846"/>
    <w:rsid w:val="00DF4EB1"/>
    <w:rsid w:val="00DF520B"/>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3BA1"/>
    <w:rsid w:val="00E0457E"/>
    <w:rsid w:val="00E0465B"/>
    <w:rsid w:val="00E049BD"/>
    <w:rsid w:val="00E04A01"/>
    <w:rsid w:val="00E04ECE"/>
    <w:rsid w:val="00E05956"/>
    <w:rsid w:val="00E05AE5"/>
    <w:rsid w:val="00E06990"/>
    <w:rsid w:val="00E06C1E"/>
    <w:rsid w:val="00E06D3C"/>
    <w:rsid w:val="00E0702C"/>
    <w:rsid w:val="00E07671"/>
    <w:rsid w:val="00E0798F"/>
    <w:rsid w:val="00E102FF"/>
    <w:rsid w:val="00E10A2F"/>
    <w:rsid w:val="00E1124C"/>
    <w:rsid w:val="00E11B8F"/>
    <w:rsid w:val="00E11BB1"/>
    <w:rsid w:val="00E13F29"/>
    <w:rsid w:val="00E16198"/>
    <w:rsid w:val="00E16AB4"/>
    <w:rsid w:val="00E16BAA"/>
    <w:rsid w:val="00E17F49"/>
    <w:rsid w:val="00E20418"/>
    <w:rsid w:val="00E21412"/>
    <w:rsid w:val="00E216E7"/>
    <w:rsid w:val="00E22486"/>
    <w:rsid w:val="00E22993"/>
    <w:rsid w:val="00E229A0"/>
    <w:rsid w:val="00E230CB"/>
    <w:rsid w:val="00E23C65"/>
    <w:rsid w:val="00E23D5F"/>
    <w:rsid w:val="00E23E25"/>
    <w:rsid w:val="00E24547"/>
    <w:rsid w:val="00E2527F"/>
    <w:rsid w:val="00E25577"/>
    <w:rsid w:val="00E257B1"/>
    <w:rsid w:val="00E25AC1"/>
    <w:rsid w:val="00E26398"/>
    <w:rsid w:val="00E26920"/>
    <w:rsid w:val="00E27408"/>
    <w:rsid w:val="00E30474"/>
    <w:rsid w:val="00E30972"/>
    <w:rsid w:val="00E30C17"/>
    <w:rsid w:val="00E30D86"/>
    <w:rsid w:val="00E3160B"/>
    <w:rsid w:val="00E31684"/>
    <w:rsid w:val="00E316D5"/>
    <w:rsid w:val="00E31E0B"/>
    <w:rsid w:val="00E32272"/>
    <w:rsid w:val="00E32435"/>
    <w:rsid w:val="00E32B9B"/>
    <w:rsid w:val="00E3353E"/>
    <w:rsid w:val="00E3369B"/>
    <w:rsid w:val="00E3384C"/>
    <w:rsid w:val="00E34222"/>
    <w:rsid w:val="00E3423F"/>
    <w:rsid w:val="00E34CDC"/>
    <w:rsid w:val="00E34D8D"/>
    <w:rsid w:val="00E368B4"/>
    <w:rsid w:val="00E37592"/>
    <w:rsid w:val="00E37FDF"/>
    <w:rsid w:val="00E4039F"/>
    <w:rsid w:val="00E415ED"/>
    <w:rsid w:val="00E41B54"/>
    <w:rsid w:val="00E440C8"/>
    <w:rsid w:val="00E440FE"/>
    <w:rsid w:val="00E444AA"/>
    <w:rsid w:val="00E447C5"/>
    <w:rsid w:val="00E44845"/>
    <w:rsid w:val="00E44DFC"/>
    <w:rsid w:val="00E44EC9"/>
    <w:rsid w:val="00E451B3"/>
    <w:rsid w:val="00E46B43"/>
    <w:rsid w:val="00E46F5E"/>
    <w:rsid w:val="00E470D9"/>
    <w:rsid w:val="00E50124"/>
    <w:rsid w:val="00E50B80"/>
    <w:rsid w:val="00E50C0E"/>
    <w:rsid w:val="00E50D17"/>
    <w:rsid w:val="00E51A59"/>
    <w:rsid w:val="00E524D8"/>
    <w:rsid w:val="00E52597"/>
    <w:rsid w:val="00E525CB"/>
    <w:rsid w:val="00E52608"/>
    <w:rsid w:val="00E52CF6"/>
    <w:rsid w:val="00E535A8"/>
    <w:rsid w:val="00E538FF"/>
    <w:rsid w:val="00E5396D"/>
    <w:rsid w:val="00E539AB"/>
    <w:rsid w:val="00E54407"/>
    <w:rsid w:val="00E5481D"/>
    <w:rsid w:val="00E55520"/>
    <w:rsid w:val="00E56E48"/>
    <w:rsid w:val="00E5784B"/>
    <w:rsid w:val="00E57C92"/>
    <w:rsid w:val="00E57D33"/>
    <w:rsid w:val="00E6079D"/>
    <w:rsid w:val="00E610A6"/>
    <w:rsid w:val="00E614E8"/>
    <w:rsid w:val="00E6158C"/>
    <w:rsid w:val="00E6243E"/>
    <w:rsid w:val="00E626FE"/>
    <w:rsid w:val="00E62A8A"/>
    <w:rsid w:val="00E62B92"/>
    <w:rsid w:val="00E6417D"/>
    <w:rsid w:val="00E64945"/>
    <w:rsid w:val="00E654EA"/>
    <w:rsid w:val="00E66495"/>
    <w:rsid w:val="00E664BA"/>
    <w:rsid w:val="00E67237"/>
    <w:rsid w:val="00E67D08"/>
    <w:rsid w:val="00E67F3E"/>
    <w:rsid w:val="00E700F8"/>
    <w:rsid w:val="00E70266"/>
    <w:rsid w:val="00E702C2"/>
    <w:rsid w:val="00E70C3A"/>
    <w:rsid w:val="00E70E58"/>
    <w:rsid w:val="00E70F15"/>
    <w:rsid w:val="00E718ED"/>
    <w:rsid w:val="00E719EB"/>
    <w:rsid w:val="00E7229A"/>
    <w:rsid w:val="00E73CA5"/>
    <w:rsid w:val="00E73FB9"/>
    <w:rsid w:val="00E74450"/>
    <w:rsid w:val="00E75248"/>
    <w:rsid w:val="00E75EC1"/>
    <w:rsid w:val="00E76B1A"/>
    <w:rsid w:val="00E7729E"/>
    <w:rsid w:val="00E77D0F"/>
    <w:rsid w:val="00E804F0"/>
    <w:rsid w:val="00E80945"/>
    <w:rsid w:val="00E8094A"/>
    <w:rsid w:val="00E80AF6"/>
    <w:rsid w:val="00E80C37"/>
    <w:rsid w:val="00E8119B"/>
    <w:rsid w:val="00E81924"/>
    <w:rsid w:val="00E81E35"/>
    <w:rsid w:val="00E81EE2"/>
    <w:rsid w:val="00E82126"/>
    <w:rsid w:val="00E82CA4"/>
    <w:rsid w:val="00E82D58"/>
    <w:rsid w:val="00E84077"/>
    <w:rsid w:val="00E856C3"/>
    <w:rsid w:val="00E866D0"/>
    <w:rsid w:val="00E87031"/>
    <w:rsid w:val="00E872D3"/>
    <w:rsid w:val="00E87790"/>
    <w:rsid w:val="00E878D3"/>
    <w:rsid w:val="00E87D62"/>
    <w:rsid w:val="00E902BD"/>
    <w:rsid w:val="00E9116A"/>
    <w:rsid w:val="00E91570"/>
    <w:rsid w:val="00E918FF"/>
    <w:rsid w:val="00E928DD"/>
    <w:rsid w:val="00E92F52"/>
    <w:rsid w:val="00E934E9"/>
    <w:rsid w:val="00E93DFE"/>
    <w:rsid w:val="00E949DD"/>
    <w:rsid w:val="00E956A8"/>
    <w:rsid w:val="00E959A2"/>
    <w:rsid w:val="00E95FA9"/>
    <w:rsid w:val="00E9667F"/>
    <w:rsid w:val="00E97FBE"/>
    <w:rsid w:val="00EA0143"/>
    <w:rsid w:val="00EA0390"/>
    <w:rsid w:val="00EA0734"/>
    <w:rsid w:val="00EA0E22"/>
    <w:rsid w:val="00EA0FCD"/>
    <w:rsid w:val="00EA12F7"/>
    <w:rsid w:val="00EA1891"/>
    <w:rsid w:val="00EA2918"/>
    <w:rsid w:val="00EA2984"/>
    <w:rsid w:val="00EA3E48"/>
    <w:rsid w:val="00EA4DAA"/>
    <w:rsid w:val="00EA5593"/>
    <w:rsid w:val="00EA5A14"/>
    <w:rsid w:val="00EA5BA9"/>
    <w:rsid w:val="00EA60FA"/>
    <w:rsid w:val="00EA65BC"/>
    <w:rsid w:val="00EA6A17"/>
    <w:rsid w:val="00EA7673"/>
    <w:rsid w:val="00EA7BE2"/>
    <w:rsid w:val="00EB0146"/>
    <w:rsid w:val="00EB057F"/>
    <w:rsid w:val="00EB0B26"/>
    <w:rsid w:val="00EB1354"/>
    <w:rsid w:val="00EB2BB1"/>
    <w:rsid w:val="00EB2F6F"/>
    <w:rsid w:val="00EB358D"/>
    <w:rsid w:val="00EB381C"/>
    <w:rsid w:val="00EB3DBD"/>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1AB"/>
    <w:rsid w:val="00EC5281"/>
    <w:rsid w:val="00EC5A65"/>
    <w:rsid w:val="00EC5F63"/>
    <w:rsid w:val="00EC619B"/>
    <w:rsid w:val="00EC61AC"/>
    <w:rsid w:val="00EC63A2"/>
    <w:rsid w:val="00EC6E59"/>
    <w:rsid w:val="00ED007C"/>
    <w:rsid w:val="00ED0C6A"/>
    <w:rsid w:val="00ED172B"/>
    <w:rsid w:val="00ED1C49"/>
    <w:rsid w:val="00ED2071"/>
    <w:rsid w:val="00ED272C"/>
    <w:rsid w:val="00ED2DDD"/>
    <w:rsid w:val="00ED3BCC"/>
    <w:rsid w:val="00ED48DA"/>
    <w:rsid w:val="00ED509B"/>
    <w:rsid w:val="00ED55AA"/>
    <w:rsid w:val="00ED63DF"/>
    <w:rsid w:val="00ED6E79"/>
    <w:rsid w:val="00ED6F45"/>
    <w:rsid w:val="00ED712A"/>
    <w:rsid w:val="00ED74EE"/>
    <w:rsid w:val="00ED7D12"/>
    <w:rsid w:val="00EE0221"/>
    <w:rsid w:val="00EE04D0"/>
    <w:rsid w:val="00EE05B7"/>
    <w:rsid w:val="00EE0C65"/>
    <w:rsid w:val="00EE12E1"/>
    <w:rsid w:val="00EE1DD1"/>
    <w:rsid w:val="00EE4E0F"/>
    <w:rsid w:val="00EE50A8"/>
    <w:rsid w:val="00EE58C0"/>
    <w:rsid w:val="00EE6372"/>
    <w:rsid w:val="00EE6F42"/>
    <w:rsid w:val="00EE7144"/>
    <w:rsid w:val="00EE7758"/>
    <w:rsid w:val="00EE7829"/>
    <w:rsid w:val="00EF00BE"/>
    <w:rsid w:val="00EF09DF"/>
    <w:rsid w:val="00EF1AEF"/>
    <w:rsid w:val="00EF345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8A"/>
    <w:rsid w:val="00F03286"/>
    <w:rsid w:val="00F03E46"/>
    <w:rsid w:val="00F0433A"/>
    <w:rsid w:val="00F046B6"/>
    <w:rsid w:val="00F04F23"/>
    <w:rsid w:val="00F05BAF"/>
    <w:rsid w:val="00F05ED0"/>
    <w:rsid w:val="00F0619B"/>
    <w:rsid w:val="00F069EE"/>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E73"/>
    <w:rsid w:val="00F20F42"/>
    <w:rsid w:val="00F21D64"/>
    <w:rsid w:val="00F22006"/>
    <w:rsid w:val="00F2262B"/>
    <w:rsid w:val="00F22D09"/>
    <w:rsid w:val="00F240EF"/>
    <w:rsid w:val="00F2466D"/>
    <w:rsid w:val="00F249CD"/>
    <w:rsid w:val="00F24AC2"/>
    <w:rsid w:val="00F24DD0"/>
    <w:rsid w:val="00F25214"/>
    <w:rsid w:val="00F253FF"/>
    <w:rsid w:val="00F2548E"/>
    <w:rsid w:val="00F255D2"/>
    <w:rsid w:val="00F25965"/>
    <w:rsid w:val="00F26B1F"/>
    <w:rsid w:val="00F3080C"/>
    <w:rsid w:val="00F32724"/>
    <w:rsid w:val="00F32751"/>
    <w:rsid w:val="00F32B6D"/>
    <w:rsid w:val="00F339CE"/>
    <w:rsid w:val="00F33E0A"/>
    <w:rsid w:val="00F33E76"/>
    <w:rsid w:val="00F342F9"/>
    <w:rsid w:val="00F3511E"/>
    <w:rsid w:val="00F3516E"/>
    <w:rsid w:val="00F35205"/>
    <w:rsid w:val="00F35698"/>
    <w:rsid w:val="00F35B4D"/>
    <w:rsid w:val="00F35C0E"/>
    <w:rsid w:val="00F360F2"/>
    <w:rsid w:val="00F3615E"/>
    <w:rsid w:val="00F366A6"/>
    <w:rsid w:val="00F36848"/>
    <w:rsid w:val="00F37E58"/>
    <w:rsid w:val="00F40121"/>
    <w:rsid w:val="00F40944"/>
    <w:rsid w:val="00F40C9F"/>
    <w:rsid w:val="00F4238C"/>
    <w:rsid w:val="00F42995"/>
    <w:rsid w:val="00F44638"/>
    <w:rsid w:val="00F4580C"/>
    <w:rsid w:val="00F45B4C"/>
    <w:rsid w:val="00F45CB7"/>
    <w:rsid w:val="00F45CE5"/>
    <w:rsid w:val="00F47E58"/>
    <w:rsid w:val="00F5051A"/>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771"/>
    <w:rsid w:val="00F61A89"/>
    <w:rsid w:val="00F627C0"/>
    <w:rsid w:val="00F63955"/>
    <w:rsid w:val="00F64287"/>
    <w:rsid w:val="00F651BC"/>
    <w:rsid w:val="00F66714"/>
    <w:rsid w:val="00F67355"/>
    <w:rsid w:val="00F6768C"/>
    <w:rsid w:val="00F67CCA"/>
    <w:rsid w:val="00F67E5F"/>
    <w:rsid w:val="00F67FA4"/>
    <w:rsid w:val="00F702B4"/>
    <w:rsid w:val="00F703BF"/>
    <w:rsid w:val="00F70415"/>
    <w:rsid w:val="00F7071C"/>
    <w:rsid w:val="00F70AC4"/>
    <w:rsid w:val="00F70B2D"/>
    <w:rsid w:val="00F70B9C"/>
    <w:rsid w:val="00F71605"/>
    <w:rsid w:val="00F719E6"/>
    <w:rsid w:val="00F729AD"/>
    <w:rsid w:val="00F72C4B"/>
    <w:rsid w:val="00F73BE0"/>
    <w:rsid w:val="00F74562"/>
    <w:rsid w:val="00F74CF3"/>
    <w:rsid w:val="00F74E2A"/>
    <w:rsid w:val="00F754D5"/>
    <w:rsid w:val="00F75864"/>
    <w:rsid w:val="00F7607B"/>
    <w:rsid w:val="00F765B8"/>
    <w:rsid w:val="00F7673F"/>
    <w:rsid w:val="00F76753"/>
    <w:rsid w:val="00F77BCB"/>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7BB"/>
    <w:rsid w:val="00F85A5B"/>
    <w:rsid w:val="00F860F5"/>
    <w:rsid w:val="00F86456"/>
    <w:rsid w:val="00F8685E"/>
    <w:rsid w:val="00F86861"/>
    <w:rsid w:val="00F872DC"/>
    <w:rsid w:val="00F9062E"/>
    <w:rsid w:val="00F90937"/>
    <w:rsid w:val="00F90A32"/>
    <w:rsid w:val="00F90BF8"/>
    <w:rsid w:val="00F939F8"/>
    <w:rsid w:val="00F9428F"/>
    <w:rsid w:val="00F95744"/>
    <w:rsid w:val="00F95AA3"/>
    <w:rsid w:val="00F95FEA"/>
    <w:rsid w:val="00F96996"/>
    <w:rsid w:val="00F9713C"/>
    <w:rsid w:val="00F97A57"/>
    <w:rsid w:val="00F97A99"/>
    <w:rsid w:val="00F97C7F"/>
    <w:rsid w:val="00FA0C63"/>
    <w:rsid w:val="00FA1420"/>
    <w:rsid w:val="00FA2430"/>
    <w:rsid w:val="00FA283D"/>
    <w:rsid w:val="00FA30A3"/>
    <w:rsid w:val="00FA3375"/>
    <w:rsid w:val="00FA3767"/>
    <w:rsid w:val="00FA4462"/>
    <w:rsid w:val="00FA45A1"/>
    <w:rsid w:val="00FA46DF"/>
    <w:rsid w:val="00FA5E02"/>
    <w:rsid w:val="00FA69B8"/>
    <w:rsid w:val="00FA71CF"/>
    <w:rsid w:val="00FA7580"/>
    <w:rsid w:val="00FB0C75"/>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6A4"/>
    <w:rsid w:val="00FC083E"/>
    <w:rsid w:val="00FC0A2B"/>
    <w:rsid w:val="00FC0AC7"/>
    <w:rsid w:val="00FC13CE"/>
    <w:rsid w:val="00FC1AA8"/>
    <w:rsid w:val="00FC1E9E"/>
    <w:rsid w:val="00FC298C"/>
    <w:rsid w:val="00FC2B12"/>
    <w:rsid w:val="00FC445C"/>
    <w:rsid w:val="00FC49D3"/>
    <w:rsid w:val="00FC5451"/>
    <w:rsid w:val="00FC576C"/>
    <w:rsid w:val="00FC5FCB"/>
    <w:rsid w:val="00FC6292"/>
    <w:rsid w:val="00FC6A09"/>
    <w:rsid w:val="00FC6C20"/>
    <w:rsid w:val="00FC727D"/>
    <w:rsid w:val="00FC769C"/>
    <w:rsid w:val="00FC7972"/>
    <w:rsid w:val="00FD047C"/>
    <w:rsid w:val="00FD059E"/>
    <w:rsid w:val="00FD0773"/>
    <w:rsid w:val="00FD18B2"/>
    <w:rsid w:val="00FD2A88"/>
    <w:rsid w:val="00FD2AA0"/>
    <w:rsid w:val="00FD3C8C"/>
    <w:rsid w:val="00FD4802"/>
    <w:rsid w:val="00FD4A6F"/>
    <w:rsid w:val="00FD53C0"/>
    <w:rsid w:val="00FD59F0"/>
    <w:rsid w:val="00FD66D7"/>
    <w:rsid w:val="00FD726F"/>
    <w:rsid w:val="00FE08AC"/>
    <w:rsid w:val="00FE122D"/>
    <w:rsid w:val="00FE164A"/>
    <w:rsid w:val="00FE1B3A"/>
    <w:rsid w:val="00FE27FA"/>
    <w:rsid w:val="00FE2991"/>
    <w:rsid w:val="00FE2ECD"/>
    <w:rsid w:val="00FE327A"/>
    <w:rsid w:val="00FE3AA6"/>
    <w:rsid w:val="00FE3F4C"/>
    <w:rsid w:val="00FE3F69"/>
    <w:rsid w:val="00FE403B"/>
    <w:rsid w:val="00FE4661"/>
    <w:rsid w:val="00FE47B0"/>
    <w:rsid w:val="00FE4D63"/>
    <w:rsid w:val="00FE6398"/>
    <w:rsid w:val="00FE6608"/>
    <w:rsid w:val="00FE7611"/>
    <w:rsid w:val="00FF026D"/>
    <w:rsid w:val="00FF155B"/>
    <w:rsid w:val="00FF2213"/>
    <w:rsid w:val="00FF244B"/>
    <w:rsid w:val="00FF2F0B"/>
    <w:rsid w:val="00FF3F3A"/>
    <w:rsid w:val="00FF4763"/>
    <w:rsid w:val="00FF4A43"/>
    <w:rsid w:val="00FF54D0"/>
    <w:rsid w:val="00FF55B8"/>
    <w:rsid w:val="00FF5F8A"/>
    <w:rsid w:val="00FF6948"/>
    <w:rsid w:val="00FF6A40"/>
    <w:rsid w:val="0B66E202"/>
    <w:rsid w:val="1BFB15B8"/>
    <w:rsid w:val="1DE3546B"/>
    <w:rsid w:val="2E13AC09"/>
    <w:rsid w:val="33129DF2"/>
    <w:rsid w:val="6D93630C"/>
    <w:rsid w:val="7116E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461D"/>
  <w15:docId w15:val="{35DCBFEA-750A-4153-A785-520A5D7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BD7"/>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eastAsiaTheme="majorEastAsia" w:hAnsiTheme="majorHAnsi"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eastAsiaTheme="majorEastAsia" w:hAnsiTheme="majorHAnsi"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E649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1"/>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2"/>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customStyle="1" w:styleId="UnresolvedMention">
    <w:name w:val="Unresolved Mention"/>
    <w:basedOn w:val="DefaultParagraphFont"/>
    <w:uiPriority w:val="99"/>
    <w:semiHidden/>
    <w:unhideWhenUsed/>
    <w:rsid w:val="004F20A4"/>
    <w:rPr>
      <w:color w:val="605E5C"/>
      <w:shd w:val="clear" w:color="auto" w:fill="E1DFDD"/>
    </w:rPr>
  </w:style>
  <w:style w:type="character" w:customStyle="1" w:styleId="Heading4Char">
    <w:name w:val="Heading 4 Char"/>
    <w:basedOn w:val="DefaultParagraphFont"/>
    <w:link w:val="Heading4"/>
    <w:uiPriority w:val="9"/>
    <w:rsid w:val="00E64945"/>
    <w:rPr>
      <w:rFonts w:asciiTheme="majorHAnsi" w:eastAsiaTheme="majorEastAsia" w:hAnsiTheme="majorHAnsi" w:cstheme="majorBidi"/>
      <w:b/>
      <w:iCs/>
      <w:color w:val="365F91" w:themeColor="accent1" w:themeShade="BF"/>
    </w:rPr>
  </w:style>
  <w:style w:type="paragraph" w:customStyle="1" w:styleId="Default">
    <w:name w:val="Default"/>
    <w:rsid w:val="000135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RIRequirement">
    <w:name w:val="BRI Requirement"/>
    <w:basedOn w:val="Normal"/>
    <w:qFormat/>
    <w:rsid w:val="000135C2"/>
    <w:pPr>
      <w:ind w:left="360" w:hanging="360"/>
      <w:contextualSpacing/>
    </w:pPr>
  </w:style>
  <w:style w:type="paragraph" w:customStyle="1" w:styleId="CRIRequirement">
    <w:name w:val="CRI Requirement"/>
    <w:basedOn w:val="Normal"/>
    <w:qFormat/>
    <w:rsid w:val="000135C2"/>
    <w:pPr>
      <w:ind w:left="720" w:hanging="720"/>
      <w:contextualSpacing/>
    </w:pPr>
  </w:style>
  <w:style w:type="paragraph" w:customStyle="1" w:styleId="BCIRequirement">
    <w:name w:val="BCI Requirement"/>
    <w:basedOn w:val="Normal"/>
    <w:qFormat/>
    <w:rsid w:val="000135C2"/>
    <w:pPr>
      <w:ind w:left="720" w:hanging="720"/>
      <w:contextualSpacing/>
    </w:pPr>
  </w:style>
  <w:style w:type="paragraph" w:customStyle="1" w:styleId="IndNoteBullet">
    <w:name w:val="Ind Note Bullet"/>
    <w:basedOn w:val="Default"/>
    <w:qFormat/>
    <w:rsid w:val="000135C2"/>
    <w:pPr>
      <w:ind w:left="360" w:hanging="360"/>
    </w:pPr>
    <w:rPr>
      <w:rFonts w:asciiTheme="minorHAnsi" w:hAnsiTheme="minorHAnsi"/>
      <w:color w:val="auto"/>
      <w:sz w:val="20"/>
      <w:szCs w:val="20"/>
    </w:rPr>
  </w:style>
  <w:style w:type="paragraph" w:customStyle="1" w:styleId="Explanation">
    <w:name w:val="Explanation"/>
    <w:basedOn w:val="Normal"/>
    <w:qFormat/>
    <w:rsid w:val="000135C2"/>
    <w:rPr>
      <w:i/>
      <w:color w:val="5F497A" w:themeColor="accent4" w:themeShade="BF"/>
    </w:rPr>
  </w:style>
  <w:style w:type="paragraph" w:customStyle="1" w:styleId="panel-paragraph">
    <w:name w:val="panel-paragraph"/>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135C2"/>
    <w:pPr>
      <w:spacing w:after="0" w:line="240" w:lineRule="auto"/>
    </w:pPr>
  </w:style>
  <w:style w:type="paragraph" w:customStyle="1" w:styleId="Numbering">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customStyle="1" w:styleId="msonormal0">
    <w:name w:val="msonormal"/>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0135C2"/>
    <w:rPr>
      <w:rFonts w:ascii="Carlito" w:eastAsia="Carlito" w:hAnsi="Carlito" w:cs="Carlito"/>
    </w:rPr>
  </w:style>
  <w:style w:type="paragraph" w:customStyle="1" w:styleId="TableParagraph">
    <w:name w:val="Table Paragraph"/>
    <w:basedOn w:val="Normal"/>
    <w:uiPriority w:val="1"/>
    <w:qFormat/>
    <w:rsid w:val="000135C2"/>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5Char">
    <w:name w:val="Heading 5 Char"/>
    <w:basedOn w:val="DefaultParagraphFont"/>
    <w:link w:val="Heading5"/>
    <w:uiPriority w:val="9"/>
    <w:semiHidden/>
    <w:rsid w:val="006362E6"/>
    <w:rPr>
      <w:rFonts w:asciiTheme="majorHAnsi" w:eastAsiaTheme="majorEastAsia" w:hAnsiTheme="majorHAnsi" w:cstheme="majorBidi"/>
      <w:color w:val="365F91" w:themeColor="accent1" w:themeShade="BF"/>
    </w:rPr>
  </w:style>
  <w:style w:type="table" w:customStyle="1" w:styleId="TableGrid2">
    <w:name w:val="Table Grid2"/>
    <w:basedOn w:val="TableNormal"/>
    <w:next w:val="TableGrid"/>
    <w:uiPriority w:val="59"/>
    <w:rsid w:val="00D614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D614DB"/>
    <w:pPr>
      <w:spacing w:after="0" w:line="240" w:lineRule="auto"/>
    </w:pPr>
    <w:rPr>
      <w:rFonts w:ascii="Calibri" w:eastAsia="Calibri" w:hAnsi="Calibri" w:cs="Times New Roman"/>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Bahnschrift SemiBold SemiConden" w:eastAsia="Times New Roman" w:hAnsi="Bahnschrift SemiBold SemiConden"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Bahnschrift SemiBold SemiConden" w:eastAsia="Times New Roman" w:hAnsi="Bahnschrift SemiBold SemiConden"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Bahnschrift SemiBold SemiConden" w:eastAsia="Times New Roman" w:hAnsi="Bahnschrift SemiBold SemiConden" w:cs="Times New Roman" w:hint="default"/>
        <w:b/>
        <w:bCs/>
      </w:rPr>
    </w:tblStylePr>
    <w:tblStylePr w:type="lastCol">
      <w:rPr>
        <w:rFonts w:ascii="Bahnschrift SemiBold SemiConden" w:eastAsia="Times New Roman" w:hAnsi="Bahnschrift SemiBold SemiConden"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D614DB"/>
  </w:style>
  <w:style w:type="character" w:customStyle="1" w:styleId="cf01">
    <w:name w:val="cf01"/>
    <w:basedOn w:val="DefaultParagraphFont"/>
    <w:rsid w:val="00437F97"/>
    <w:rPr>
      <w:rFonts w:ascii="Segoe UI" w:hAnsi="Segoe UI" w:cs="Segoe UI" w:hint="default"/>
      <w:b/>
      <w:bCs/>
      <w:color w:val="172B4D"/>
      <w:sz w:val="18"/>
      <w:szCs w:val="18"/>
      <w:shd w:val="clear" w:color="auto" w:fill="FFFFFF"/>
    </w:rPr>
  </w:style>
  <w:style w:type="character" w:customStyle="1" w:styleId="cf21">
    <w:name w:val="cf21"/>
    <w:basedOn w:val="DefaultParagraphFont"/>
    <w:rsid w:val="00437F97"/>
    <w:rPr>
      <w:rFonts w:ascii="Segoe UI" w:hAnsi="Segoe UI" w:cs="Segoe UI" w:hint="default"/>
      <w:b/>
      <w:bCs/>
      <w:color w:val="172B4D"/>
      <w:sz w:val="18"/>
      <w:szCs w:val="18"/>
      <w:shd w:val="clear" w:color="auto" w:fill="FFFFFF"/>
    </w:rPr>
  </w:style>
  <w:style w:type="character" w:customStyle="1" w:styleId="ui-provider">
    <w:name w:val="ui-provider"/>
    <w:basedOn w:val="DefaultParagraphFont"/>
    <w:rsid w:val="00B93074"/>
  </w:style>
  <w:style w:type="character" w:customStyle="1" w:styleId="normaltextrun">
    <w:name w:val="normaltextrun"/>
    <w:basedOn w:val="DefaultParagraphFont"/>
    <w:rsid w:val="00D21F29"/>
  </w:style>
  <w:style w:type="character" w:customStyle="1" w:styleId="Mention">
    <w:name w:val="Mention"/>
    <w:basedOn w:val="DefaultParagraphFont"/>
    <w:uiPriority w:val="99"/>
    <w:unhideWhenUsed/>
    <w:rsid w:val="00DE79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41136880">
      <w:bodyDiv w:val="1"/>
      <w:marLeft w:val="0"/>
      <w:marRight w:val="0"/>
      <w:marTop w:val="0"/>
      <w:marBottom w:val="0"/>
      <w:divBdr>
        <w:top w:val="none" w:sz="0" w:space="0" w:color="auto"/>
        <w:left w:val="none" w:sz="0" w:space="0" w:color="auto"/>
        <w:bottom w:val="none" w:sz="0" w:space="0" w:color="auto"/>
        <w:right w:val="none" w:sz="0" w:space="0" w:color="auto"/>
      </w:divBdr>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6281221">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sites.ed.gov/idea/how-the-department-made-determin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maps.ed.gov/suit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sites.ed.gov/idea/how-the-department-made-determination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files/FFY2023-Part-C-SPP-APR-Reformatted-Measurement-Table.pdf" TargetMode="External"/><Relationship Id="rId2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6bac4-6705-4a36-974b-7c07450fedf2" xsi:nil="true"/>
    <lcf76f155ced4ddcb4097134ff3c332f xmlns="292db1e8-b3d0-4356-8ef3-2a6d7ed77883">
      <Terms xmlns="http://schemas.microsoft.com/office/infopath/2007/PartnerControls"/>
    </lcf76f155ced4ddcb4097134ff3c332f>
    <Document_x0020_Purpose xmlns="292db1e8-b3d0-4356-8ef3-2a6d7ed77883" xsi:nil="true"/>
    <_ip_UnifiedCompliancePolicyUIAction xmlns="http://schemas.microsoft.com/sharepoint/v3" xsi:nil="true"/>
    <RoutingTargetFolder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9DCB-E3D8-4048-BDD4-1F7881EB95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92db1e8-b3d0-4356-8ef3-2a6d7ed77883"/>
    <ds:schemaRef ds:uri="http://schemas.microsoft.com/sharepoint/v3"/>
    <ds:schemaRef ds:uri="http://purl.org/dc/terms/"/>
    <ds:schemaRef ds:uri="http://schemas.openxmlformats.org/package/2006/metadata/core-properties"/>
    <ds:schemaRef ds:uri="4f36bac4-6705-4a36-974b-7c07450fedf2"/>
    <ds:schemaRef ds:uri="http://www.w3.org/XML/1998/namespace"/>
  </ds:schemaRefs>
</ds:datastoreItem>
</file>

<file path=customXml/itemProps2.xml><?xml version="1.0" encoding="utf-8"?>
<ds:datastoreItem xmlns:ds="http://schemas.openxmlformats.org/officeDocument/2006/customXml" ds:itemID="{7DC786A2-8E10-47D5-B0C9-85AB6B39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AC6E2991-8C38-4E4E-9082-103EB63D3E02}">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1</TotalTime>
  <Pages>65</Pages>
  <Words>33795</Words>
  <Characters>192633</Characters>
  <Application>Microsoft Office Word</Application>
  <DocSecurity>0</DocSecurity>
  <Lines>1605</Lines>
  <Paragraphs>451</Paragraphs>
  <ScaleCrop>false</ScaleCrop>
  <HeadingPairs>
    <vt:vector size="2" baseType="variant">
      <vt:variant>
        <vt:lpstr>Title</vt:lpstr>
      </vt:variant>
      <vt:variant>
        <vt:i4>1</vt:i4>
      </vt:variant>
    </vt:vector>
  </HeadingPairs>
  <TitlesOfParts>
    <vt:vector size="1" baseType="lpstr">
      <vt:lpstr>2025 SPP/APR and State Determination Letters, Part C</vt:lpstr>
    </vt:vector>
  </TitlesOfParts>
  <Company>Microsoft</Company>
  <LinksUpToDate>false</LinksUpToDate>
  <CharactersWithSpaces>225977</CharactersWithSpaces>
  <SharedDoc>false</SharedDoc>
  <HLinks>
    <vt:vector size="60" baseType="variant">
      <vt:variant>
        <vt:i4>852039</vt:i4>
      </vt:variant>
      <vt:variant>
        <vt:i4>18</vt:i4>
      </vt:variant>
      <vt:variant>
        <vt:i4>0</vt:i4>
      </vt:variant>
      <vt:variant>
        <vt:i4>5</vt:i4>
      </vt:variant>
      <vt:variant>
        <vt:lpwstr>https://compcenternetwork.org/states</vt:lpwstr>
      </vt:variant>
      <vt:variant>
        <vt:lpwstr/>
      </vt:variant>
      <vt:variant>
        <vt:i4>7471146</vt:i4>
      </vt:variant>
      <vt:variant>
        <vt:i4>15</vt:i4>
      </vt:variant>
      <vt:variant>
        <vt:i4>0</vt:i4>
      </vt:variant>
      <vt:variant>
        <vt:i4>5</vt:i4>
      </vt:variant>
      <vt:variant>
        <vt:lpwstr>https://sites.ed.gov/idea/topic-areas/</vt:lpwstr>
      </vt:variant>
      <vt:variant>
        <vt:lpwstr/>
      </vt:variant>
      <vt:variant>
        <vt:i4>3670114</vt:i4>
      </vt:variant>
      <vt:variant>
        <vt:i4>12</vt:i4>
      </vt:variant>
      <vt:variant>
        <vt:i4>0</vt:i4>
      </vt:variant>
      <vt:variant>
        <vt:i4>5</vt:i4>
      </vt:variant>
      <vt:variant>
        <vt:lpwstr>https://osepideasthatwork.org/resources-grantees/program-areas/monitoring-and-state-improvement-planning-msip?tab=pa-resources</vt:lpwstr>
      </vt:variant>
      <vt:variant>
        <vt:lpwstr/>
      </vt:variant>
      <vt:variant>
        <vt:i4>2621501</vt:i4>
      </vt:variant>
      <vt:variant>
        <vt:i4>9</vt:i4>
      </vt:variant>
      <vt:variant>
        <vt:i4>0</vt:i4>
      </vt:variant>
      <vt:variant>
        <vt:i4>5</vt:i4>
      </vt:variant>
      <vt:variant>
        <vt:lpwstr>https://emaps.ed.gov/suite/</vt:lpwstr>
      </vt:variant>
      <vt:variant>
        <vt:lpwstr/>
      </vt:variant>
      <vt:variant>
        <vt:i4>4980757</vt:i4>
      </vt:variant>
      <vt:variant>
        <vt:i4>6</vt:i4>
      </vt:variant>
      <vt:variant>
        <vt:i4>0</vt:i4>
      </vt:variant>
      <vt:variant>
        <vt:i4>5</vt:i4>
      </vt:variant>
      <vt:variant>
        <vt:lpwstr>https://sites.ed.gov/idea/how-the-department-made-determinations/</vt:lpwstr>
      </vt:variant>
      <vt:variant>
        <vt:lpwstr/>
      </vt:variant>
      <vt:variant>
        <vt:i4>4063348</vt:i4>
      </vt:variant>
      <vt:variant>
        <vt:i4>0</vt:i4>
      </vt:variant>
      <vt:variant>
        <vt:i4>0</vt:i4>
      </vt:variant>
      <vt:variant>
        <vt:i4>5</vt:i4>
      </vt:variant>
      <vt:variant>
        <vt:lpwstr>https://sites.ed.gov/idea/files/2025_Part-C_SPP-APR_Measurement_Table.pdf</vt:lpwstr>
      </vt:variant>
      <vt:variant>
        <vt:lpwstr/>
      </vt:variant>
      <vt:variant>
        <vt:i4>2097189</vt:i4>
      </vt:variant>
      <vt:variant>
        <vt:i4>6</vt:i4>
      </vt:variant>
      <vt:variant>
        <vt:i4>0</vt:i4>
      </vt:variant>
      <vt:variant>
        <vt:i4>5</vt:i4>
      </vt:variant>
      <vt:variant>
        <vt:lpwstr>http://www.ed.gov/</vt:lpwstr>
      </vt:variant>
      <vt:variant>
        <vt:lpwstr/>
      </vt:variant>
      <vt:variant>
        <vt:i4>917558</vt:i4>
      </vt:variant>
      <vt:variant>
        <vt:i4>6</vt:i4>
      </vt:variant>
      <vt:variant>
        <vt:i4>0</vt:i4>
      </vt:variant>
      <vt:variant>
        <vt:i4>5</vt:i4>
      </vt:variant>
      <vt:variant>
        <vt:lpwstr>mailto:RColeman@aemcorp.com</vt:lpwstr>
      </vt:variant>
      <vt:variant>
        <vt:lpwstr/>
      </vt:variant>
      <vt:variant>
        <vt:i4>917558</vt:i4>
      </vt:variant>
      <vt:variant>
        <vt:i4>3</vt:i4>
      </vt:variant>
      <vt:variant>
        <vt:i4>0</vt:i4>
      </vt:variant>
      <vt:variant>
        <vt:i4>5</vt:i4>
      </vt:variant>
      <vt:variant>
        <vt:lpwstr>mailto:RColeman@aemcorp.com</vt:lpwstr>
      </vt:variant>
      <vt:variant>
        <vt:lpwstr/>
      </vt:variant>
      <vt:variant>
        <vt:i4>2818139</vt:i4>
      </vt:variant>
      <vt:variant>
        <vt:i4>0</vt:i4>
      </vt:variant>
      <vt:variant>
        <vt:i4>0</vt:i4>
      </vt:variant>
      <vt:variant>
        <vt:i4>5</vt:i4>
      </vt:variant>
      <vt:variant>
        <vt:lpwstr>mailto:Christine.Pilgrim@ed.gov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SPP/APR and State Determination Letters, Part C</dc:title>
  <dc:subject>IDEA State Performance Plan/Annual Performance Report (SPP/APR)</dc:subject>
  <dc:creator>U.S. Department of Education, OSERS, OSEP</dc:creator>
  <cp:keywords>Part C, 2025, IDEA, State Performance Plan, Annual Performance Report, SPP, APR, Determination Letter, Results Driven Accountability, RDA</cp:keywords>
  <cp:lastModifiedBy>Caroline Oglesby</cp:lastModifiedBy>
  <cp:revision>2</cp:revision>
  <cp:lastPrinted>2014-08-20T01:56:00Z</cp:lastPrinted>
  <dcterms:created xsi:type="dcterms:W3CDTF">2025-07-01T15:09:00Z</dcterms:created>
  <dcterms:modified xsi:type="dcterms:W3CDTF">2025-07-01T15:09:00Z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ies>
</file>