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5EA8" w14:textId="027D6A87" w:rsidR="00F412A9" w:rsidRPr="00A15DFE" w:rsidRDefault="00F412A9" w:rsidP="007D4BB5">
      <w:pPr>
        <w:jc w:val="center"/>
        <w:rPr>
          <w:sz w:val="28"/>
          <w:szCs w:val="28"/>
        </w:rPr>
      </w:pPr>
      <w:bookmarkStart w:id="0" w:name="_GoBack"/>
      <w:bookmarkEnd w:id="0"/>
      <w:r w:rsidRPr="00A15DFE">
        <w:rPr>
          <w:sz w:val="28"/>
          <w:szCs w:val="28"/>
        </w:rPr>
        <w:t xml:space="preserve">Quarterly Provider Meeting </w:t>
      </w:r>
      <w:r w:rsidR="004719A0">
        <w:rPr>
          <w:sz w:val="28"/>
          <w:szCs w:val="28"/>
        </w:rPr>
        <w:t>Updates</w:t>
      </w:r>
    </w:p>
    <w:p w14:paraId="710E030F" w14:textId="77777777" w:rsidR="00F412A9" w:rsidRPr="00A15DFE" w:rsidRDefault="00F412A9" w:rsidP="007D4BB5">
      <w:pPr>
        <w:jc w:val="center"/>
        <w:rPr>
          <w:sz w:val="28"/>
          <w:szCs w:val="28"/>
        </w:rPr>
      </w:pPr>
    </w:p>
    <w:p w14:paraId="419840D9" w14:textId="132FD5C7" w:rsidR="00F412A9" w:rsidRPr="00A15DFE" w:rsidRDefault="00532013" w:rsidP="007D4BB5">
      <w:pPr>
        <w:jc w:val="center"/>
        <w:rPr>
          <w:sz w:val="28"/>
          <w:szCs w:val="28"/>
        </w:rPr>
      </w:pPr>
      <w:r>
        <w:rPr>
          <w:sz w:val="28"/>
          <w:szCs w:val="28"/>
        </w:rPr>
        <w:t>September 30</w:t>
      </w:r>
      <w:r w:rsidR="0066536A">
        <w:rPr>
          <w:sz w:val="28"/>
          <w:szCs w:val="28"/>
        </w:rPr>
        <w:t>, 2024</w:t>
      </w:r>
    </w:p>
    <w:p w14:paraId="08FC9BFA" w14:textId="77777777" w:rsidR="00120C60" w:rsidRDefault="00120C60" w:rsidP="007D4BB5">
      <w:pPr>
        <w:jc w:val="center"/>
      </w:pPr>
    </w:p>
    <w:p w14:paraId="5DF882CF" w14:textId="6D62F2B7" w:rsidR="00AE2ADB" w:rsidRDefault="00F412A9" w:rsidP="00467F8D">
      <w:pPr>
        <w:jc w:val="both"/>
        <w:rPr>
          <w:sz w:val="28"/>
          <w:szCs w:val="28"/>
        </w:rPr>
      </w:pPr>
      <w:r w:rsidRPr="00F412A9">
        <w:rPr>
          <w:sz w:val="28"/>
          <w:szCs w:val="28"/>
        </w:rPr>
        <w:t xml:space="preserve">A </w:t>
      </w:r>
      <w:r>
        <w:rPr>
          <w:sz w:val="28"/>
          <w:szCs w:val="28"/>
        </w:rPr>
        <w:t>provid</w:t>
      </w:r>
      <w:r w:rsidR="00A27D3E">
        <w:rPr>
          <w:sz w:val="28"/>
          <w:szCs w:val="28"/>
        </w:rPr>
        <w:t>er m</w:t>
      </w:r>
      <w:r w:rsidR="00532013">
        <w:rPr>
          <w:sz w:val="28"/>
          <w:szCs w:val="28"/>
        </w:rPr>
        <w:t>eeting was held on September 30</w:t>
      </w:r>
      <w:r w:rsidR="0066536A">
        <w:rPr>
          <w:sz w:val="28"/>
          <w:szCs w:val="28"/>
        </w:rPr>
        <w:t>, 2024</w:t>
      </w:r>
      <w:r>
        <w:rPr>
          <w:sz w:val="28"/>
          <w:szCs w:val="28"/>
        </w:rPr>
        <w:t xml:space="preserve">.  </w:t>
      </w:r>
      <w:r w:rsidR="0014134C">
        <w:rPr>
          <w:sz w:val="28"/>
          <w:szCs w:val="28"/>
        </w:rPr>
        <w:t>The Q&amp;A not answered in these notes have been posted with the meeting updates.</w:t>
      </w:r>
    </w:p>
    <w:p w14:paraId="21BF39DC" w14:textId="77777777" w:rsidR="00F412A9" w:rsidRDefault="00F412A9" w:rsidP="00467F8D">
      <w:pPr>
        <w:jc w:val="both"/>
        <w:rPr>
          <w:sz w:val="28"/>
          <w:szCs w:val="28"/>
        </w:rPr>
      </w:pPr>
    </w:p>
    <w:p w14:paraId="401B6DA9" w14:textId="3B65ABA4" w:rsidR="00F412A9" w:rsidRPr="00946EFA" w:rsidRDefault="00AE2ADB" w:rsidP="00467F8D">
      <w:pPr>
        <w:jc w:val="both"/>
        <w:rPr>
          <w:b/>
          <w:sz w:val="28"/>
          <w:szCs w:val="28"/>
        </w:rPr>
      </w:pPr>
      <w:r w:rsidRPr="00946EFA">
        <w:rPr>
          <w:b/>
          <w:sz w:val="28"/>
          <w:szCs w:val="28"/>
        </w:rPr>
        <w:t>Welcome:</w:t>
      </w:r>
      <w:r w:rsidR="00A375B9">
        <w:rPr>
          <w:b/>
          <w:sz w:val="28"/>
          <w:szCs w:val="28"/>
        </w:rPr>
        <w:t xml:space="preserve"> Christy Johnson</w:t>
      </w:r>
    </w:p>
    <w:p w14:paraId="774AC3D5" w14:textId="77777777" w:rsidR="00AE2ADB" w:rsidRDefault="00AE2ADB" w:rsidP="00467F8D">
      <w:pPr>
        <w:jc w:val="both"/>
        <w:rPr>
          <w:sz w:val="28"/>
          <w:szCs w:val="28"/>
        </w:rPr>
      </w:pPr>
    </w:p>
    <w:p w14:paraId="0A47C19C" w14:textId="2E55FD48" w:rsidR="00A27D3E" w:rsidRDefault="00A375B9" w:rsidP="00467F8D">
      <w:pPr>
        <w:jc w:val="both"/>
        <w:rPr>
          <w:sz w:val="28"/>
          <w:szCs w:val="28"/>
        </w:rPr>
      </w:pPr>
      <w:r>
        <w:rPr>
          <w:sz w:val="28"/>
          <w:szCs w:val="28"/>
        </w:rPr>
        <w:t>Christy Johnson</w:t>
      </w:r>
      <w:r w:rsidR="00A27D3E">
        <w:rPr>
          <w:sz w:val="28"/>
          <w:szCs w:val="28"/>
        </w:rPr>
        <w:t xml:space="preserve"> welcomed </w:t>
      </w:r>
      <w:r>
        <w:rPr>
          <w:sz w:val="28"/>
          <w:szCs w:val="28"/>
        </w:rPr>
        <w:t>the attendees.  Christy provided the following updates:</w:t>
      </w:r>
    </w:p>
    <w:p w14:paraId="6866D0D6" w14:textId="4B667DFB" w:rsidR="00A375B9" w:rsidRDefault="00A375B9" w:rsidP="00467F8D">
      <w:pPr>
        <w:jc w:val="both"/>
        <w:rPr>
          <w:sz w:val="28"/>
          <w:szCs w:val="28"/>
        </w:rPr>
      </w:pPr>
    </w:p>
    <w:p w14:paraId="31FE85AD" w14:textId="21F15114" w:rsidR="00AE2ADB" w:rsidRDefault="00A375B9" w:rsidP="00467F8D">
      <w:pPr>
        <w:jc w:val="both"/>
        <w:rPr>
          <w:sz w:val="28"/>
          <w:szCs w:val="28"/>
        </w:rPr>
      </w:pPr>
      <w:r>
        <w:rPr>
          <w:sz w:val="28"/>
          <w:szCs w:val="28"/>
        </w:rPr>
        <w:t xml:space="preserve">Providers have an opportunity to provide agenda items for the quarterly provider meeting. If a provider has a topic to add to the agenda, an email should be sent to </w:t>
      </w:r>
      <w:hyperlink r:id="rId8" w:history="1">
        <w:r w:rsidRPr="005E0D15">
          <w:rPr>
            <w:rStyle w:val="Hyperlink"/>
            <w:sz w:val="28"/>
            <w:szCs w:val="28"/>
          </w:rPr>
          <w:t>OCDD-HCBS@la.gov</w:t>
        </w:r>
      </w:hyperlink>
      <w:r>
        <w:rPr>
          <w:sz w:val="28"/>
          <w:szCs w:val="28"/>
        </w:rPr>
        <w:t xml:space="preserve"> with the topic information.  The provider should also include “Topic for Quarterly Provider Meeting” in the subject. This will allow OCDD to vet the topic and be prepared to discuss at the provider meeting.</w:t>
      </w:r>
    </w:p>
    <w:p w14:paraId="41C041E9" w14:textId="07AD52BA" w:rsidR="00A375B9" w:rsidRDefault="00A375B9" w:rsidP="00467F8D">
      <w:pPr>
        <w:jc w:val="both"/>
        <w:rPr>
          <w:sz w:val="28"/>
          <w:szCs w:val="28"/>
        </w:rPr>
      </w:pPr>
    </w:p>
    <w:p w14:paraId="1F4B5D33" w14:textId="377D07B6" w:rsidR="00A375B9" w:rsidRDefault="00A375B9" w:rsidP="00467F8D">
      <w:pPr>
        <w:jc w:val="both"/>
        <w:rPr>
          <w:sz w:val="28"/>
          <w:szCs w:val="28"/>
        </w:rPr>
      </w:pPr>
      <w:r>
        <w:rPr>
          <w:sz w:val="28"/>
          <w:szCs w:val="28"/>
        </w:rPr>
        <w:t xml:space="preserve">The Q&amp;A’s received during the Quarterly Provider Meeting will be answered if the question is relative to an agenda item.  If not, then the question will not be answered, and the provider should send the question to </w:t>
      </w:r>
      <w:hyperlink r:id="rId9" w:history="1">
        <w:r w:rsidRPr="005E0D15">
          <w:rPr>
            <w:rStyle w:val="Hyperlink"/>
            <w:sz w:val="28"/>
            <w:szCs w:val="28"/>
          </w:rPr>
          <w:t>OCDD-HCBS@la.gov</w:t>
        </w:r>
      </w:hyperlink>
      <w:r>
        <w:rPr>
          <w:sz w:val="28"/>
          <w:szCs w:val="28"/>
        </w:rPr>
        <w:t>.</w:t>
      </w:r>
    </w:p>
    <w:p w14:paraId="7031EFA5" w14:textId="772945AE" w:rsidR="00467F8D" w:rsidRDefault="00467F8D" w:rsidP="00467F8D">
      <w:pPr>
        <w:jc w:val="both"/>
        <w:rPr>
          <w:sz w:val="28"/>
          <w:szCs w:val="28"/>
        </w:rPr>
      </w:pPr>
    </w:p>
    <w:p w14:paraId="46C37BD6" w14:textId="3C73DF8A" w:rsidR="00467F8D" w:rsidRDefault="00532013" w:rsidP="00467F8D">
      <w:pPr>
        <w:jc w:val="both"/>
        <w:rPr>
          <w:b/>
          <w:sz w:val="28"/>
          <w:szCs w:val="28"/>
          <w:u w:val="single"/>
        </w:rPr>
      </w:pPr>
      <w:r>
        <w:rPr>
          <w:b/>
          <w:sz w:val="28"/>
          <w:szCs w:val="28"/>
          <w:u w:val="single"/>
        </w:rPr>
        <w:t xml:space="preserve">Soft Launch of Assistive Technology for all Waivers: </w:t>
      </w:r>
      <w:r w:rsidR="00467F8D">
        <w:rPr>
          <w:b/>
          <w:sz w:val="28"/>
          <w:szCs w:val="28"/>
          <w:u w:val="single"/>
        </w:rPr>
        <w:t>Christy Johnson</w:t>
      </w:r>
    </w:p>
    <w:p w14:paraId="1A9A098B" w14:textId="77777777" w:rsidR="00467F8D" w:rsidRDefault="00467F8D" w:rsidP="00467F8D">
      <w:pPr>
        <w:jc w:val="both"/>
        <w:rPr>
          <w:b/>
          <w:sz w:val="28"/>
          <w:szCs w:val="28"/>
          <w:u w:val="single"/>
        </w:rPr>
      </w:pPr>
    </w:p>
    <w:p w14:paraId="55BBE58C" w14:textId="20A2403B" w:rsidR="00A375B9" w:rsidRDefault="00532013" w:rsidP="00467F8D">
      <w:pPr>
        <w:jc w:val="both"/>
        <w:rPr>
          <w:sz w:val="28"/>
          <w:szCs w:val="28"/>
        </w:rPr>
      </w:pPr>
      <w:r>
        <w:rPr>
          <w:sz w:val="28"/>
          <w:szCs w:val="28"/>
        </w:rPr>
        <w:t xml:space="preserve">Attendees were </w:t>
      </w:r>
      <w:r w:rsidR="004D5C1D">
        <w:rPr>
          <w:sz w:val="28"/>
          <w:szCs w:val="28"/>
        </w:rPr>
        <w:t>told</w:t>
      </w:r>
      <w:r>
        <w:rPr>
          <w:sz w:val="28"/>
          <w:szCs w:val="28"/>
        </w:rPr>
        <w:t xml:space="preserve"> that Assistive Technology (AT) services have been added to all four OCDD waivers.  The technology is </w:t>
      </w:r>
      <w:r w:rsidR="004D5C1D">
        <w:rPr>
          <w:sz w:val="28"/>
          <w:szCs w:val="28"/>
        </w:rPr>
        <w:t xml:space="preserve">to </w:t>
      </w:r>
      <w:r>
        <w:rPr>
          <w:sz w:val="28"/>
          <w:szCs w:val="28"/>
        </w:rPr>
        <w:t>help individuals with increased independence.  These services were piloted in LGE regions 8 and 10, and OCDD is now moving forward with a soft launch of these services statewide.  In preparation for the soft launch, a training will be held for Support Coordination Agencies and Local Governing Entities in late October.  After these organizations have been trained, OCDD will give provider agencies information regarding these services.</w:t>
      </w:r>
    </w:p>
    <w:p w14:paraId="21131400" w14:textId="226CD691" w:rsidR="00A375B9" w:rsidRPr="00AE2ADB" w:rsidRDefault="00A375B9" w:rsidP="00467F8D">
      <w:pPr>
        <w:jc w:val="both"/>
        <w:rPr>
          <w:sz w:val="28"/>
          <w:szCs w:val="28"/>
        </w:rPr>
      </w:pPr>
    </w:p>
    <w:p w14:paraId="0C5B106C" w14:textId="284629CA" w:rsidR="00AE2ADB" w:rsidRDefault="00532013" w:rsidP="00467F8D">
      <w:pPr>
        <w:jc w:val="both"/>
        <w:rPr>
          <w:b/>
          <w:sz w:val="28"/>
          <w:szCs w:val="28"/>
          <w:u w:val="single"/>
        </w:rPr>
      </w:pPr>
      <w:r>
        <w:rPr>
          <w:b/>
          <w:sz w:val="28"/>
          <w:szCs w:val="28"/>
          <w:u w:val="single"/>
        </w:rPr>
        <w:t>NOW IFS Night Rate Increase</w:t>
      </w:r>
      <w:r w:rsidR="00467F8D">
        <w:rPr>
          <w:b/>
          <w:sz w:val="28"/>
          <w:szCs w:val="28"/>
          <w:u w:val="single"/>
        </w:rPr>
        <w:t xml:space="preserve">: </w:t>
      </w:r>
      <w:r>
        <w:rPr>
          <w:b/>
          <w:sz w:val="28"/>
          <w:szCs w:val="28"/>
          <w:u w:val="single"/>
        </w:rPr>
        <w:t xml:space="preserve">Christy Johnson </w:t>
      </w:r>
    </w:p>
    <w:p w14:paraId="1C91B928" w14:textId="77777777" w:rsidR="00066D8B" w:rsidRPr="006F6254" w:rsidRDefault="00066D8B" w:rsidP="00467F8D">
      <w:pPr>
        <w:jc w:val="both"/>
        <w:rPr>
          <w:b/>
          <w:sz w:val="28"/>
          <w:szCs w:val="28"/>
          <w:u w:val="single"/>
        </w:rPr>
      </w:pPr>
    </w:p>
    <w:p w14:paraId="0DF6C905" w14:textId="03D6AE49" w:rsidR="00AE2ADB" w:rsidRDefault="00532013" w:rsidP="00467F8D">
      <w:pPr>
        <w:jc w:val="both"/>
        <w:rPr>
          <w:sz w:val="28"/>
          <w:szCs w:val="28"/>
        </w:rPr>
      </w:pPr>
      <w:r>
        <w:rPr>
          <w:sz w:val="28"/>
          <w:szCs w:val="28"/>
        </w:rPr>
        <w:t>The NOW IFS Night Rate has been increased to match the IFS Day rates, including shared services.  The rate increase is effective for services delivered beginning midnight (00:00) on 10/1/2024. The rates are as follows:</w:t>
      </w:r>
    </w:p>
    <w:p w14:paraId="5DE8DBA4" w14:textId="493F1A77" w:rsidR="00532013" w:rsidRDefault="00532013" w:rsidP="00467F8D">
      <w:pPr>
        <w:jc w:val="both"/>
        <w:rPr>
          <w:sz w:val="28"/>
          <w:szCs w:val="28"/>
        </w:rPr>
      </w:pPr>
    </w:p>
    <w:p w14:paraId="14E712B0" w14:textId="256B56B8" w:rsidR="00532013" w:rsidRDefault="00532013" w:rsidP="00467F8D">
      <w:pPr>
        <w:jc w:val="both"/>
        <w:rPr>
          <w:sz w:val="28"/>
          <w:szCs w:val="28"/>
        </w:rPr>
      </w:pPr>
      <w:r>
        <w:rPr>
          <w:sz w:val="28"/>
          <w:szCs w:val="28"/>
        </w:rPr>
        <w:t xml:space="preserve">S5125 UJ </w:t>
      </w:r>
      <w:r>
        <w:rPr>
          <w:sz w:val="28"/>
          <w:szCs w:val="28"/>
        </w:rPr>
        <w:tab/>
        <w:t>$4.63/unit</w:t>
      </w:r>
    </w:p>
    <w:p w14:paraId="21EA9C86" w14:textId="5F40001C" w:rsidR="00532013" w:rsidRDefault="00532013" w:rsidP="00467F8D">
      <w:pPr>
        <w:jc w:val="both"/>
        <w:rPr>
          <w:sz w:val="28"/>
          <w:szCs w:val="28"/>
        </w:rPr>
      </w:pPr>
      <w:r>
        <w:rPr>
          <w:sz w:val="28"/>
          <w:szCs w:val="28"/>
        </w:rPr>
        <w:t xml:space="preserve">S5125 UN </w:t>
      </w:r>
      <w:proofErr w:type="gramStart"/>
      <w:r>
        <w:rPr>
          <w:sz w:val="28"/>
          <w:szCs w:val="28"/>
        </w:rPr>
        <w:t>UJ  -</w:t>
      </w:r>
      <w:proofErr w:type="gramEnd"/>
      <w:r>
        <w:rPr>
          <w:sz w:val="28"/>
          <w:szCs w:val="28"/>
        </w:rPr>
        <w:t xml:space="preserve"> $3.20/unit</w:t>
      </w:r>
    </w:p>
    <w:p w14:paraId="35511D05" w14:textId="229BA1DD" w:rsidR="00532013" w:rsidRDefault="00532013" w:rsidP="00467F8D">
      <w:pPr>
        <w:jc w:val="both"/>
        <w:rPr>
          <w:sz w:val="28"/>
          <w:szCs w:val="28"/>
        </w:rPr>
      </w:pPr>
      <w:r>
        <w:rPr>
          <w:sz w:val="28"/>
          <w:szCs w:val="28"/>
        </w:rPr>
        <w:t>S5125 UP UJ - $2.71/unit</w:t>
      </w:r>
    </w:p>
    <w:p w14:paraId="479D616B" w14:textId="643F86E4" w:rsidR="00532013" w:rsidRDefault="00532013" w:rsidP="00467F8D">
      <w:pPr>
        <w:jc w:val="both"/>
        <w:rPr>
          <w:sz w:val="28"/>
          <w:szCs w:val="28"/>
        </w:rPr>
      </w:pPr>
      <w:r>
        <w:rPr>
          <w:sz w:val="28"/>
          <w:szCs w:val="28"/>
        </w:rPr>
        <w:lastRenderedPageBreak/>
        <w:t xml:space="preserve">The </w:t>
      </w:r>
      <w:r w:rsidR="0014134C">
        <w:rPr>
          <w:sz w:val="28"/>
          <w:szCs w:val="28"/>
        </w:rPr>
        <w:t xml:space="preserve">NOW </w:t>
      </w:r>
      <w:r>
        <w:rPr>
          <w:sz w:val="28"/>
          <w:szCs w:val="28"/>
        </w:rPr>
        <w:t xml:space="preserve">night services procedure codes will remain in effect and should be used when documenting the delivery of NOW IFS night services and for billing. A memo was </w:t>
      </w:r>
      <w:r w:rsidR="0014134C">
        <w:rPr>
          <w:sz w:val="28"/>
          <w:szCs w:val="28"/>
        </w:rPr>
        <w:t>posted</w:t>
      </w:r>
      <w:r>
        <w:rPr>
          <w:sz w:val="28"/>
          <w:szCs w:val="28"/>
        </w:rPr>
        <w:t xml:space="preserve"> on 9/23/24 outlining the rate increase </w:t>
      </w:r>
      <w:r w:rsidR="0014134C">
        <w:rPr>
          <w:sz w:val="28"/>
          <w:szCs w:val="28"/>
        </w:rPr>
        <w:t>and is available in LaSRS</w:t>
      </w:r>
      <w:r>
        <w:rPr>
          <w:sz w:val="28"/>
          <w:szCs w:val="28"/>
        </w:rPr>
        <w:t>.</w:t>
      </w:r>
    </w:p>
    <w:p w14:paraId="11CEEEE2" w14:textId="77777777" w:rsidR="00532013" w:rsidRDefault="00532013" w:rsidP="00467F8D">
      <w:pPr>
        <w:jc w:val="both"/>
        <w:rPr>
          <w:sz w:val="28"/>
          <w:szCs w:val="28"/>
        </w:rPr>
      </w:pPr>
    </w:p>
    <w:p w14:paraId="6B01ABFF" w14:textId="5EEB6719" w:rsidR="00B92B1D" w:rsidRDefault="00532013" w:rsidP="007B07B0">
      <w:pPr>
        <w:jc w:val="both"/>
        <w:rPr>
          <w:b/>
          <w:sz w:val="28"/>
          <w:szCs w:val="28"/>
          <w:u w:val="single"/>
        </w:rPr>
      </w:pPr>
      <w:r>
        <w:rPr>
          <w:b/>
          <w:sz w:val="28"/>
          <w:szCs w:val="28"/>
          <w:u w:val="single"/>
        </w:rPr>
        <w:t>Statewide Incident Management System</w:t>
      </w:r>
      <w:r w:rsidR="00467F8D">
        <w:rPr>
          <w:b/>
          <w:sz w:val="28"/>
          <w:szCs w:val="28"/>
          <w:u w:val="single"/>
        </w:rPr>
        <w:t xml:space="preserve">: </w:t>
      </w:r>
      <w:r>
        <w:rPr>
          <w:b/>
          <w:sz w:val="28"/>
          <w:szCs w:val="28"/>
          <w:u w:val="single"/>
        </w:rPr>
        <w:t>Marilee Andrews</w:t>
      </w:r>
    </w:p>
    <w:p w14:paraId="07DF1CCD" w14:textId="15609B79" w:rsidR="007B07B0" w:rsidRDefault="007B07B0" w:rsidP="007B07B0">
      <w:pPr>
        <w:jc w:val="both"/>
        <w:rPr>
          <w:b/>
          <w:sz w:val="28"/>
          <w:szCs w:val="28"/>
          <w:u w:val="single"/>
        </w:rPr>
      </w:pPr>
    </w:p>
    <w:p w14:paraId="6D143C75" w14:textId="1475CD8A" w:rsidR="007B07B0" w:rsidRDefault="007B07B0" w:rsidP="007B07B0">
      <w:pPr>
        <w:rPr>
          <w:bCs/>
          <w:color w:val="000000" w:themeColor="text1"/>
          <w:sz w:val="28"/>
          <w:szCs w:val="28"/>
        </w:rPr>
      </w:pPr>
      <w:r w:rsidRPr="007B07B0">
        <w:rPr>
          <w:bCs/>
          <w:color w:val="000000" w:themeColor="text1"/>
          <w:sz w:val="28"/>
          <w:szCs w:val="28"/>
        </w:rPr>
        <w:t>Marilee reviewed the Medicaid billing bump project and provide</w:t>
      </w:r>
      <w:r>
        <w:rPr>
          <w:bCs/>
          <w:color w:val="000000" w:themeColor="text1"/>
          <w:sz w:val="28"/>
          <w:szCs w:val="28"/>
        </w:rPr>
        <w:t xml:space="preserve">d the following information for </w:t>
      </w:r>
      <w:r w:rsidRPr="007B07B0">
        <w:rPr>
          <w:bCs/>
          <w:color w:val="000000" w:themeColor="text1"/>
          <w:sz w:val="28"/>
          <w:szCs w:val="28"/>
        </w:rPr>
        <w:t>CIRs for visits to acute care facilities, emergency rooms, and urgent care centers:</w:t>
      </w:r>
    </w:p>
    <w:p w14:paraId="065AE5B4" w14:textId="77777777" w:rsidR="007B07B0" w:rsidRPr="007B07B0" w:rsidRDefault="007B07B0" w:rsidP="007B07B0">
      <w:pPr>
        <w:rPr>
          <w:bCs/>
          <w:color w:val="000000" w:themeColor="text1"/>
          <w:sz w:val="28"/>
          <w:szCs w:val="28"/>
        </w:rPr>
      </w:pPr>
    </w:p>
    <w:p w14:paraId="3922D091" w14:textId="4C7B2C88" w:rsidR="007B07B0" w:rsidRPr="007B07B0" w:rsidRDefault="007B07B0" w:rsidP="007B07B0">
      <w:pPr>
        <w:rPr>
          <w:bCs/>
          <w:color w:val="000000" w:themeColor="text1"/>
          <w:sz w:val="28"/>
          <w:szCs w:val="28"/>
        </w:rPr>
      </w:pPr>
      <w:r w:rsidRPr="007B07B0">
        <w:rPr>
          <w:bCs/>
          <w:color w:val="000000" w:themeColor="text1"/>
          <w:sz w:val="28"/>
          <w:szCs w:val="28"/>
        </w:rPr>
        <w:t>Any incident/action that results in a visit to an</w:t>
      </w:r>
      <w:r>
        <w:rPr>
          <w:bCs/>
          <w:color w:val="000000" w:themeColor="text1"/>
          <w:sz w:val="28"/>
          <w:szCs w:val="28"/>
        </w:rPr>
        <w:t xml:space="preserve"> </w:t>
      </w:r>
      <w:r w:rsidRPr="007B07B0">
        <w:rPr>
          <w:bCs/>
          <w:color w:val="000000" w:themeColor="text1"/>
          <w:sz w:val="28"/>
          <w:szCs w:val="28"/>
        </w:rPr>
        <w:t>acute care facility, emergency room, or urgent</w:t>
      </w:r>
      <w:r>
        <w:rPr>
          <w:bCs/>
          <w:color w:val="000000" w:themeColor="text1"/>
          <w:sz w:val="28"/>
          <w:szCs w:val="28"/>
        </w:rPr>
        <w:t xml:space="preserve"> </w:t>
      </w:r>
      <w:r w:rsidRPr="007B07B0">
        <w:rPr>
          <w:bCs/>
          <w:color w:val="000000" w:themeColor="text1"/>
          <w:sz w:val="28"/>
          <w:szCs w:val="28"/>
        </w:rPr>
        <w:t>care center qualifies as a critical incident and</w:t>
      </w:r>
      <w:r>
        <w:rPr>
          <w:bCs/>
          <w:color w:val="000000" w:themeColor="text1"/>
          <w:sz w:val="28"/>
          <w:szCs w:val="28"/>
        </w:rPr>
        <w:t xml:space="preserve"> </w:t>
      </w:r>
      <w:r w:rsidRPr="007B07B0">
        <w:rPr>
          <w:bCs/>
          <w:color w:val="000000" w:themeColor="text1"/>
          <w:sz w:val="28"/>
          <w:szCs w:val="28"/>
        </w:rPr>
        <w:t xml:space="preserve">should be reported.  </w:t>
      </w:r>
    </w:p>
    <w:p w14:paraId="0477FE6B" w14:textId="56C9F178" w:rsidR="007B07B0" w:rsidRPr="00681F7D" w:rsidRDefault="00681F7D" w:rsidP="00681F7D">
      <w:pPr>
        <w:pStyle w:val="ListParagraph"/>
        <w:numPr>
          <w:ilvl w:val="0"/>
          <w:numId w:val="29"/>
        </w:numPr>
        <w:rPr>
          <w:bCs/>
          <w:color w:val="000000" w:themeColor="text1"/>
          <w:sz w:val="28"/>
          <w:szCs w:val="28"/>
        </w:rPr>
      </w:pPr>
      <w:r>
        <w:rPr>
          <w:bCs/>
          <w:color w:val="000000" w:themeColor="text1"/>
          <w:sz w:val="28"/>
          <w:szCs w:val="28"/>
        </w:rPr>
        <w:t>Acute Care Facility -</w:t>
      </w:r>
      <w:r w:rsidR="007B07B0" w:rsidRPr="00681F7D">
        <w:rPr>
          <w:bCs/>
          <w:color w:val="000000" w:themeColor="text1"/>
          <w:sz w:val="28"/>
          <w:szCs w:val="28"/>
        </w:rPr>
        <w:t xml:space="preserve"> a hospital where it is expected that the patient will require treatment by licensed health care providers either as an out-patient (less than 24 hours) or as a patient who stays more than 24 hours. This includes psychiatric hospital stays/ admissions.</w:t>
      </w:r>
    </w:p>
    <w:p w14:paraId="54B5D06A" w14:textId="1419DDFF" w:rsidR="007B07B0" w:rsidRPr="00681F7D" w:rsidRDefault="00681F7D" w:rsidP="00681F7D">
      <w:pPr>
        <w:pStyle w:val="ListParagraph"/>
        <w:numPr>
          <w:ilvl w:val="0"/>
          <w:numId w:val="29"/>
        </w:numPr>
        <w:rPr>
          <w:bCs/>
          <w:color w:val="000000" w:themeColor="text1"/>
          <w:sz w:val="28"/>
          <w:szCs w:val="28"/>
        </w:rPr>
      </w:pPr>
      <w:r>
        <w:rPr>
          <w:bCs/>
          <w:color w:val="000000" w:themeColor="text1"/>
          <w:sz w:val="28"/>
          <w:szCs w:val="28"/>
        </w:rPr>
        <w:t>Emergency Room -</w:t>
      </w:r>
      <w:r w:rsidR="007B07B0" w:rsidRPr="00681F7D">
        <w:rPr>
          <w:bCs/>
          <w:color w:val="000000" w:themeColor="text1"/>
          <w:sz w:val="28"/>
          <w:szCs w:val="28"/>
        </w:rPr>
        <w:t xml:space="preserve"> Emergency room or urgent care center</w:t>
      </w:r>
    </w:p>
    <w:p w14:paraId="363930DF" w14:textId="77777777" w:rsidR="007B07B0" w:rsidRPr="007B07B0" w:rsidRDefault="007B07B0" w:rsidP="007B07B0">
      <w:pPr>
        <w:jc w:val="both"/>
        <w:rPr>
          <w:bCs/>
          <w:color w:val="000000" w:themeColor="text1"/>
          <w:sz w:val="28"/>
          <w:szCs w:val="28"/>
        </w:rPr>
      </w:pPr>
    </w:p>
    <w:p w14:paraId="7BE067F9" w14:textId="6E871020" w:rsidR="00B92B1D" w:rsidRDefault="007B07B0" w:rsidP="00467F8D">
      <w:pPr>
        <w:jc w:val="both"/>
        <w:rPr>
          <w:bCs/>
          <w:color w:val="000000" w:themeColor="text1"/>
          <w:sz w:val="28"/>
          <w:szCs w:val="28"/>
        </w:rPr>
      </w:pPr>
      <w:r w:rsidRPr="007B07B0">
        <w:rPr>
          <w:bCs/>
          <w:color w:val="000000" w:themeColor="text1"/>
          <w:sz w:val="28"/>
          <w:szCs w:val="28"/>
        </w:rPr>
        <w:t>Marilee also asked the providers to review and save this link:</w:t>
      </w:r>
      <w:r>
        <w:rPr>
          <w:b/>
          <w:bCs/>
          <w:color w:val="003300"/>
        </w:rPr>
        <w:t xml:space="preserve"> </w:t>
      </w:r>
      <w:hyperlink r:id="rId10" w:history="1">
        <w:r w:rsidRPr="007B07B0">
          <w:rPr>
            <w:rStyle w:val="Hyperlink"/>
            <w:b/>
            <w:bCs/>
            <w:sz w:val="28"/>
            <w:szCs w:val="28"/>
          </w:rPr>
          <w:t>https://ldh.la.gov/page/critical-incident-reporting</w:t>
        </w:r>
      </w:hyperlink>
      <w:r w:rsidRPr="007B07B0">
        <w:rPr>
          <w:b/>
          <w:bCs/>
          <w:color w:val="003300"/>
          <w:sz w:val="28"/>
          <w:szCs w:val="28"/>
        </w:rPr>
        <w:t>,</w:t>
      </w:r>
      <w:r>
        <w:rPr>
          <w:b/>
          <w:bCs/>
          <w:color w:val="003300"/>
        </w:rPr>
        <w:t xml:space="preserve"> </w:t>
      </w:r>
      <w:r w:rsidRPr="007B07B0">
        <w:rPr>
          <w:bCs/>
          <w:color w:val="000000" w:themeColor="text1"/>
          <w:sz w:val="28"/>
          <w:szCs w:val="28"/>
        </w:rPr>
        <w:t>as it contains a number of resources, including a slide deck on Operational Instruction #F-5 / Critical Incident Reporting in SIMS, which answers many questions.</w:t>
      </w:r>
    </w:p>
    <w:p w14:paraId="4DA8952D" w14:textId="576FBEA8" w:rsidR="007B07B0" w:rsidRDefault="007B07B0" w:rsidP="00467F8D">
      <w:pPr>
        <w:jc w:val="both"/>
        <w:rPr>
          <w:bCs/>
          <w:color w:val="000000" w:themeColor="text1"/>
          <w:sz w:val="28"/>
          <w:szCs w:val="28"/>
        </w:rPr>
      </w:pPr>
    </w:p>
    <w:p w14:paraId="1967F110" w14:textId="6CA59E14" w:rsidR="007B07B0" w:rsidRDefault="007B07B0" w:rsidP="007B07B0">
      <w:pPr>
        <w:jc w:val="both"/>
        <w:rPr>
          <w:bCs/>
          <w:color w:val="000000" w:themeColor="text1"/>
          <w:sz w:val="28"/>
          <w:szCs w:val="28"/>
        </w:rPr>
      </w:pPr>
      <w:r w:rsidRPr="007B07B0">
        <w:rPr>
          <w:bCs/>
          <w:color w:val="000000" w:themeColor="text1"/>
          <w:sz w:val="28"/>
          <w:szCs w:val="28"/>
        </w:rPr>
        <w:t xml:space="preserve">Marilee shared some DSP responsibilities and SC responsibilities with regards to following up on CIRs:  </w:t>
      </w:r>
    </w:p>
    <w:p w14:paraId="28AE46E6" w14:textId="77777777" w:rsidR="007B07B0" w:rsidRPr="007B07B0" w:rsidRDefault="007B07B0" w:rsidP="007B07B0">
      <w:pPr>
        <w:jc w:val="both"/>
        <w:rPr>
          <w:bCs/>
          <w:color w:val="000000" w:themeColor="text1"/>
          <w:sz w:val="28"/>
          <w:szCs w:val="28"/>
        </w:rPr>
      </w:pPr>
    </w:p>
    <w:p w14:paraId="4397C1CA" w14:textId="386E23FF" w:rsidR="007B07B0" w:rsidRPr="007B07B0" w:rsidRDefault="007B07B0" w:rsidP="007B07B0">
      <w:pPr>
        <w:jc w:val="both"/>
        <w:rPr>
          <w:bCs/>
          <w:color w:val="000000" w:themeColor="text1"/>
          <w:sz w:val="28"/>
          <w:szCs w:val="28"/>
        </w:rPr>
      </w:pPr>
      <w:r w:rsidRPr="007B07B0">
        <w:rPr>
          <w:bCs/>
          <w:color w:val="000000" w:themeColor="text1"/>
          <w:sz w:val="28"/>
          <w:szCs w:val="28"/>
        </w:rPr>
        <w:t xml:space="preserve">Some DSP responsibilities </w:t>
      </w:r>
      <w:r w:rsidR="00495368">
        <w:rPr>
          <w:bCs/>
          <w:color w:val="000000" w:themeColor="text1"/>
          <w:sz w:val="28"/>
          <w:szCs w:val="28"/>
        </w:rPr>
        <w:t>with regard to following up on CIRs</w:t>
      </w:r>
      <w:r w:rsidRPr="007B07B0">
        <w:rPr>
          <w:bCs/>
          <w:color w:val="000000" w:themeColor="text1"/>
          <w:sz w:val="28"/>
          <w:szCs w:val="28"/>
        </w:rPr>
        <w:t xml:space="preserve">: </w:t>
      </w:r>
    </w:p>
    <w:p w14:paraId="2FF23E19" w14:textId="6FDE2B70" w:rsidR="007B07B0" w:rsidRPr="00681F7D" w:rsidRDefault="007B07B0" w:rsidP="00681F7D">
      <w:pPr>
        <w:pStyle w:val="ListParagraph"/>
        <w:numPr>
          <w:ilvl w:val="0"/>
          <w:numId w:val="30"/>
        </w:numPr>
        <w:jc w:val="both"/>
        <w:rPr>
          <w:bCs/>
          <w:color w:val="000000" w:themeColor="text1"/>
          <w:sz w:val="28"/>
          <w:szCs w:val="28"/>
        </w:rPr>
      </w:pPr>
      <w:r w:rsidRPr="00681F7D">
        <w:rPr>
          <w:bCs/>
          <w:color w:val="000000" w:themeColor="text1"/>
          <w:sz w:val="28"/>
          <w:szCs w:val="28"/>
        </w:rPr>
        <w:t>Enter follow-up case notes within six business days after the initial CIR is received from the DSP or the discovery by the SC and as needed until case closure</w:t>
      </w:r>
    </w:p>
    <w:p w14:paraId="7B450524" w14:textId="44A3730F" w:rsidR="007B07B0" w:rsidRPr="00681F7D" w:rsidRDefault="007B07B0" w:rsidP="00681F7D">
      <w:pPr>
        <w:pStyle w:val="ListParagraph"/>
        <w:numPr>
          <w:ilvl w:val="0"/>
          <w:numId w:val="30"/>
        </w:numPr>
        <w:jc w:val="both"/>
        <w:rPr>
          <w:bCs/>
          <w:color w:val="000000" w:themeColor="text1"/>
          <w:sz w:val="28"/>
          <w:szCs w:val="28"/>
        </w:rPr>
      </w:pPr>
      <w:r w:rsidRPr="00681F7D">
        <w:rPr>
          <w:bCs/>
          <w:color w:val="000000" w:themeColor="text1"/>
          <w:sz w:val="28"/>
          <w:szCs w:val="28"/>
        </w:rPr>
        <w:t>Continue to follow-up with DSP, the participant and others as necessary, in order to update the case notes in SIMS until the incident is resolved and the case is closed.</w:t>
      </w:r>
    </w:p>
    <w:p w14:paraId="7B1EEE37" w14:textId="77777777" w:rsidR="007B07B0" w:rsidRPr="007B07B0" w:rsidRDefault="007B07B0" w:rsidP="007B07B0">
      <w:pPr>
        <w:jc w:val="both"/>
        <w:rPr>
          <w:bCs/>
          <w:color w:val="000000" w:themeColor="text1"/>
          <w:sz w:val="28"/>
          <w:szCs w:val="28"/>
        </w:rPr>
      </w:pPr>
    </w:p>
    <w:p w14:paraId="21E341E6" w14:textId="77777777" w:rsidR="007B07B0" w:rsidRPr="00495368" w:rsidRDefault="007B07B0" w:rsidP="007B07B0">
      <w:pPr>
        <w:jc w:val="both"/>
        <w:rPr>
          <w:bCs/>
          <w:color w:val="000000" w:themeColor="text1"/>
          <w:sz w:val="28"/>
          <w:szCs w:val="28"/>
        </w:rPr>
      </w:pPr>
      <w:r w:rsidRPr="00495368">
        <w:rPr>
          <w:bCs/>
          <w:color w:val="000000" w:themeColor="text1"/>
          <w:sz w:val="28"/>
          <w:szCs w:val="28"/>
        </w:rPr>
        <w:t>Some SC responsibilities in critical incident reporting:</w:t>
      </w:r>
    </w:p>
    <w:p w14:paraId="74F20EAA" w14:textId="7467AEF9" w:rsidR="007B07B0" w:rsidRPr="00495368" w:rsidRDefault="007B07B0" w:rsidP="00681F7D">
      <w:pPr>
        <w:pStyle w:val="ListParagraph"/>
        <w:numPr>
          <w:ilvl w:val="0"/>
          <w:numId w:val="31"/>
        </w:numPr>
        <w:jc w:val="both"/>
        <w:rPr>
          <w:bCs/>
          <w:color w:val="000000" w:themeColor="text1"/>
          <w:sz w:val="28"/>
          <w:szCs w:val="28"/>
        </w:rPr>
      </w:pPr>
      <w:r w:rsidRPr="00495368">
        <w:rPr>
          <w:bCs/>
          <w:color w:val="000000" w:themeColor="text1"/>
          <w:sz w:val="28"/>
          <w:szCs w:val="28"/>
        </w:rPr>
        <w:t>Enter follow-up case notes within six business days after the initial critical incident report is received from the DSP or the discovery by the SC and as needed until case closure.</w:t>
      </w:r>
    </w:p>
    <w:p w14:paraId="48B06F48" w14:textId="1B62918B" w:rsidR="00495368" w:rsidRDefault="00495368" w:rsidP="00495368">
      <w:pPr>
        <w:jc w:val="both"/>
        <w:rPr>
          <w:bCs/>
          <w:color w:val="000000" w:themeColor="text1"/>
          <w:sz w:val="28"/>
          <w:szCs w:val="28"/>
        </w:rPr>
      </w:pPr>
    </w:p>
    <w:p w14:paraId="2F76404A" w14:textId="7470B87E" w:rsidR="00495368" w:rsidRPr="00495368" w:rsidRDefault="00495368" w:rsidP="00495368">
      <w:pPr>
        <w:jc w:val="both"/>
        <w:rPr>
          <w:bCs/>
          <w:color w:val="000000" w:themeColor="text1"/>
          <w:sz w:val="28"/>
          <w:szCs w:val="28"/>
        </w:rPr>
      </w:pPr>
      <w:r w:rsidRPr="00495368">
        <w:rPr>
          <w:bCs/>
          <w:color w:val="000000" w:themeColor="text1"/>
          <w:sz w:val="28"/>
          <w:szCs w:val="28"/>
        </w:rPr>
        <w:lastRenderedPageBreak/>
        <w:t>Please review the slide deck on Operational Instruction #F-5 and Operational Instruction #F-5, both of which are located at</w:t>
      </w:r>
      <w:r w:rsidRPr="00495368">
        <w:rPr>
          <w:color w:val="000000"/>
          <w:sz w:val="28"/>
          <w:szCs w:val="28"/>
        </w:rPr>
        <w:t xml:space="preserve"> </w:t>
      </w:r>
      <w:hyperlink r:id="rId11" w:history="1">
        <w:r w:rsidRPr="00495368">
          <w:rPr>
            <w:rStyle w:val="Hyperlink"/>
            <w:b/>
            <w:bCs/>
            <w:sz w:val="28"/>
            <w:szCs w:val="28"/>
          </w:rPr>
          <w:t>https://ldh.la.gov/page/critical-incident-reporting</w:t>
        </w:r>
      </w:hyperlink>
      <w:r w:rsidRPr="00495368">
        <w:t xml:space="preserve"> </w:t>
      </w:r>
      <w:r w:rsidRPr="00495368">
        <w:rPr>
          <w:bCs/>
          <w:color w:val="000000" w:themeColor="text1"/>
          <w:sz w:val="28"/>
          <w:szCs w:val="28"/>
        </w:rPr>
        <w:t>for complete DSP and SC responsibilities regarding critical incident reporting</w:t>
      </w:r>
    </w:p>
    <w:p w14:paraId="275C387E" w14:textId="77777777" w:rsidR="007B07B0" w:rsidRDefault="007B07B0" w:rsidP="00467F8D">
      <w:pPr>
        <w:jc w:val="both"/>
        <w:rPr>
          <w:bCs/>
          <w:color w:val="000000" w:themeColor="text1"/>
          <w:sz w:val="28"/>
          <w:szCs w:val="28"/>
        </w:rPr>
      </w:pPr>
    </w:p>
    <w:p w14:paraId="3E24B9C6" w14:textId="480ACA47" w:rsidR="005D2FC8" w:rsidRPr="00B92B1D" w:rsidRDefault="005D2FC8" w:rsidP="00467F8D">
      <w:pPr>
        <w:jc w:val="both"/>
        <w:rPr>
          <w:b/>
          <w:sz w:val="28"/>
          <w:szCs w:val="28"/>
          <w:u w:val="single"/>
        </w:rPr>
      </w:pPr>
      <w:r>
        <w:rPr>
          <w:b/>
          <w:sz w:val="28"/>
          <w:szCs w:val="28"/>
          <w:u w:val="single"/>
        </w:rPr>
        <w:t>Path to Employment: Rosemary Morales</w:t>
      </w:r>
    </w:p>
    <w:p w14:paraId="1CDB4035" w14:textId="77777777" w:rsidR="00B92B1D" w:rsidRPr="00B92B1D" w:rsidRDefault="00B92B1D" w:rsidP="00467F8D">
      <w:pPr>
        <w:jc w:val="both"/>
        <w:rPr>
          <w:bCs/>
          <w:color w:val="000000" w:themeColor="text1"/>
          <w:sz w:val="28"/>
          <w:szCs w:val="28"/>
        </w:rPr>
      </w:pPr>
    </w:p>
    <w:p w14:paraId="2E4A71BD" w14:textId="57059B01" w:rsidR="005D2FC8" w:rsidRDefault="005D2FC8" w:rsidP="00467F8D">
      <w:pPr>
        <w:widowControl w:val="0"/>
        <w:autoSpaceDE w:val="0"/>
        <w:autoSpaceDN w:val="0"/>
        <w:adjustRightInd w:val="0"/>
        <w:jc w:val="both"/>
        <w:rPr>
          <w:bCs/>
          <w:color w:val="000000" w:themeColor="text1"/>
          <w:sz w:val="28"/>
          <w:szCs w:val="28"/>
        </w:rPr>
      </w:pPr>
      <w:r>
        <w:rPr>
          <w:bCs/>
          <w:color w:val="000000" w:themeColor="text1"/>
          <w:sz w:val="28"/>
          <w:szCs w:val="28"/>
        </w:rPr>
        <w:t>Rosemary explained the new Path to Employment that is being launched on October 1, 2024.  This information was previously shared with Support Coordination Executives at their last meeting with OCDD</w:t>
      </w:r>
      <w:r w:rsidR="00F267D4">
        <w:rPr>
          <w:bCs/>
          <w:color w:val="000000" w:themeColor="text1"/>
          <w:sz w:val="28"/>
          <w:szCs w:val="28"/>
        </w:rPr>
        <w:t xml:space="preserve"> on 9/17/24</w:t>
      </w:r>
      <w:r>
        <w:rPr>
          <w:bCs/>
          <w:color w:val="000000" w:themeColor="text1"/>
          <w:sz w:val="28"/>
          <w:szCs w:val="28"/>
        </w:rPr>
        <w:t xml:space="preserve">.  </w:t>
      </w:r>
    </w:p>
    <w:p w14:paraId="2F6638BD" w14:textId="77777777" w:rsidR="005D2FC8" w:rsidRDefault="005D2FC8" w:rsidP="00467F8D">
      <w:pPr>
        <w:widowControl w:val="0"/>
        <w:autoSpaceDE w:val="0"/>
        <w:autoSpaceDN w:val="0"/>
        <w:adjustRightInd w:val="0"/>
        <w:jc w:val="both"/>
        <w:rPr>
          <w:bCs/>
          <w:color w:val="000000" w:themeColor="text1"/>
          <w:sz w:val="28"/>
          <w:szCs w:val="28"/>
        </w:rPr>
      </w:pPr>
    </w:p>
    <w:p w14:paraId="3A1153C4" w14:textId="1B0D8E87" w:rsidR="00E82535" w:rsidRDefault="005D2FC8" w:rsidP="00467F8D">
      <w:pPr>
        <w:widowControl w:val="0"/>
        <w:autoSpaceDE w:val="0"/>
        <w:autoSpaceDN w:val="0"/>
        <w:adjustRightInd w:val="0"/>
        <w:jc w:val="both"/>
        <w:rPr>
          <w:bCs/>
          <w:color w:val="000000" w:themeColor="text1"/>
          <w:sz w:val="28"/>
          <w:szCs w:val="28"/>
        </w:rPr>
      </w:pPr>
      <w:r>
        <w:rPr>
          <w:bCs/>
          <w:color w:val="000000" w:themeColor="text1"/>
          <w:sz w:val="28"/>
          <w:szCs w:val="28"/>
        </w:rPr>
        <w:t xml:space="preserve">The original Path to Employment questionnaire was designed to facilitate a discussion about employment with individuals.  However, the questionnaire was lengthy and resulted in the collection of inaccurate information.  The new Path to Employment is only four questions and is designed to identify individuals that work in competitive, integrated employment and those individuals who </w:t>
      </w:r>
      <w:r w:rsidRPr="005D2FC8">
        <w:rPr>
          <w:b/>
          <w:bCs/>
          <w:color w:val="000000" w:themeColor="text1"/>
          <w:sz w:val="28"/>
          <w:szCs w:val="28"/>
          <w:u w:val="single"/>
        </w:rPr>
        <w:t>want</w:t>
      </w:r>
      <w:r>
        <w:rPr>
          <w:bCs/>
          <w:color w:val="000000" w:themeColor="text1"/>
          <w:sz w:val="28"/>
          <w:szCs w:val="28"/>
        </w:rPr>
        <w:t xml:space="preserve"> to work in competitive, integrated employment.  </w:t>
      </w:r>
    </w:p>
    <w:p w14:paraId="722196BA" w14:textId="3A5E1535" w:rsidR="005D2FC8" w:rsidRDefault="005D2FC8" w:rsidP="00467F8D">
      <w:pPr>
        <w:widowControl w:val="0"/>
        <w:autoSpaceDE w:val="0"/>
        <w:autoSpaceDN w:val="0"/>
        <w:adjustRightInd w:val="0"/>
        <w:jc w:val="both"/>
        <w:rPr>
          <w:bCs/>
          <w:color w:val="000000" w:themeColor="text1"/>
          <w:sz w:val="28"/>
          <w:szCs w:val="28"/>
        </w:rPr>
      </w:pPr>
    </w:p>
    <w:p w14:paraId="466075AF" w14:textId="737585DC" w:rsidR="005D2FC8" w:rsidRDefault="005D2FC8" w:rsidP="00467F8D">
      <w:pPr>
        <w:widowControl w:val="0"/>
        <w:autoSpaceDE w:val="0"/>
        <w:autoSpaceDN w:val="0"/>
        <w:adjustRightInd w:val="0"/>
        <w:jc w:val="both"/>
        <w:rPr>
          <w:bCs/>
          <w:color w:val="000000" w:themeColor="text1"/>
          <w:sz w:val="28"/>
          <w:szCs w:val="28"/>
        </w:rPr>
      </w:pPr>
      <w:r>
        <w:rPr>
          <w:bCs/>
          <w:color w:val="000000" w:themeColor="text1"/>
          <w:sz w:val="28"/>
          <w:szCs w:val="28"/>
        </w:rPr>
        <w:t>The Path to Employment only has to be answered twice a year</w:t>
      </w:r>
      <w:r w:rsidR="004E09A3">
        <w:rPr>
          <w:bCs/>
          <w:color w:val="000000" w:themeColor="text1"/>
          <w:sz w:val="28"/>
          <w:szCs w:val="28"/>
        </w:rPr>
        <w:t xml:space="preserve"> (October-December and April–June)</w:t>
      </w:r>
      <w:r>
        <w:rPr>
          <w:bCs/>
          <w:color w:val="000000" w:themeColor="text1"/>
          <w:sz w:val="28"/>
          <w:szCs w:val="28"/>
        </w:rPr>
        <w:t xml:space="preserve"> and is only for individuals who are 18 and older and have a Supports, ROW, or NOW waiver.</w:t>
      </w:r>
      <w:r w:rsidR="004E09A3">
        <w:rPr>
          <w:bCs/>
          <w:color w:val="000000" w:themeColor="text1"/>
          <w:sz w:val="28"/>
          <w:szCs w:val="28"/>
        </w:rPr>
        <w:t xml:space="preserve"> The PTE is not required for individuals in Children’s Choice</w:t>
      </w:r>
      <w:r w:rsidR="009F1EFB">
        <w:rPr>
          <w:bCs/>
          <w:color w:val="000000" w:themeColor="text1"/>
          <w:sz w:val="28"/>
          <w:szCs w:val="28"/>
        </w:rPr>
        <w:t>, even if they are 18 or older</w:t>
      </w:r>
      <w:r w:rsidR="004E09A3">
        <w:rPr>
          <w:bCs/>
          <w:color w:val="000000" w:themeColor="text1"/>
          <w:sz w:val="28"/>
          <w:szCs w:val="28"/>
        </w:rPr>
        <w:t>.</w:t>
      </w:r>
    </w:p>
    <w:p w14:paraId="087415BA" w14:textId="77777777" w:rsidR="005D2FC8" w:rsidRDefault="005D2FC8" w:rsidP="00467F8D">
      <w:pPr>
        <w:widowControl w:val="0"/>
        <w:autoSpaceDE w:val="0"/>
        <w:autoSpaceDN w:val="0"/>
        <w:adjustRightInd w:val="0"/>
        <w:jc w:val="both"/>
        <w:rPr>
          <w:bCs/>
          <w:color w:val="000000" w:themeColor="text1"/>
          <w:sz w:val="28"/>
          <w:szCs w:val="28"/>
        </w:rPr>
      </w:pPr>
    </w:p>
    <w:p w14:paraId="3F7B26E8" w14:textId="1B1D1E52" w:rsidR="005D2FC8" w:rsidRDefault="005D2FC8" w:rsidP="00467F8D">
      <w:pPr>
        <w:widowControl w:val="0"/>
        <w:autoSpaceDE w:val="0"/>
        <w:autoSpaceDN w:val="0"/>
        <w:adjustRightInd w:val="0"/>
        <w:jc w:val="both"/>
        <w:rPr>
          <w:bCs/>
          <w:color w:val="000000" w:themeColor="text1"/>
          <w:sz w:val="28"/>
          <w:szCs w:val="28"/>
        </w:rPr>
      </w:pPr>
      <w:r>
        <w:rPr>
          <w:bCs/>
          <w:color w:val="000000" w:themeColor="text1"/>
          <w:sz w:val="28"/>
          <w:szCs w:val="28"/>
        </w:rPr>
        <w:t>The Path to Employment presentation has been posted with these provider notes.  Additional information will be distributed to Support Coordination Agenc</w:t>
      </w:r>
      <w:r w:rsidR="00F267D4">
        <w:rPr>
          <w:bCs/>
          <w:color w:val="000000" w:themeColor="text1"/>
          <w:sz w:val="28"/>
          <w:szCs w:val="28"/>
        </w:rPr>
        <w:t>ies to help facilitate training and once the documents are numbered, they will be redistributed to the SCA’s.</w:t>
      </w:r>
    </w:p>
    <w:p w14:paraId="4E700434" w14:textId="77777777" w:rsidR="005D2FC8" w:rsidRDefault="005D2FC8" w:rsidP="00467F8D">
      <w:pPr>
        <w:widowControl w:val="0"/>
        <w:autoSpaceDE w:val="0"/>
        <w:autoSpaceDN w:val="0"/>
        <w:adjustRightInd w:val="0"/>
        <w:jc w:val="both"/>
        <w:rPr>
          <w:bCs/>
          <w:color w:val="000000" w:themeColor="text1"/>
          <w:sz w:val="28"/>
          <w:szCs w:val="28"/>
        </w:rPr>
      </w:pPr>
    </w:p>
    <w:p w14:paraId="57C689FE" w14:textId="77777777" w:rsidR="005D2FC8" w:rsidRDefault="005D2FC8" w:rsidP="00467F8D">
      <w:pPr>
        <w:widowControl w:val="0"/>
        <w:autoSpaceDE w:val="0"/>
        <w:autoSpaceDN w:val="0"/>
        <w:adjustRightInd w:val="0"/>
        <w:jc w:val="both"/>
        <w:rPr>
          <w:rFonts w:ascii="CG Times" w:hAnsi="CG Times"/>
          <w:sz w:val="30"/>
          <w:szCs w:val="32"/>
        </w:rPr>
      </w:pPr>
    </w:p>
    <w:p w14:paraId="75F46986" w14:textId="242B0C4A" w:rsidR="00E82535" w:rsidRDefault="004E09A3" w:rsidP="00467F8D">
      <w:pPr>
        <w:jc w:val="both"/>
        <w:rPr>
          <w:b/>
          <w:sz w:val="28"/>
          <w:szCs w:val="28"/>
          <w:u w:val="single"/>
        </w:rPr>
      </w:pPr>
      <w:r>
        <w:rPr>
          <w:b/>
          <w:sz w:val="28"/>
          <w:szCs w:val="28"/>
          <w:u w:val="single"/>
        </w:rPr>
        <w:t>Family as Paid Caregiver: Janae Burr</w:t>
      </w:r>
    </w:p>
    <w:p w14:paraId="3863508C" w14:textId="5515CE72" w:rsidR="00E82535" w:rsidRDefault="00E82535" w:rsidP="00467F8D">
      <w:pPr>
        <w:jc w:val="both"/>
        <w:rPr>
          <w:b/>
          <w:sz w:val="28"/>
          <w:szCs w:val="28"/>
          <w:u w:val="single"/>
        </w:rPr>
      </w:pPr>
    </w:p>
    <w:p w14:paraId="71A9552E" w14:textId="1C4892BE" w:rsidR="00FA7F42" w:rsidRDefault="004E09A3" w:rsidP="00467F8D">
      <w:pPr>
        <w:jc w:val="both"/>
        <w:rPr>
          <w:bCs/>
          <w:color w:val="000000" w:themeColor="text1"/>
          <w:sz w:val="28"/>
          <w:szCs w:val="28"/>
        </w:rPr>
      </w:pPr>
      <w:r>
        <w:rPr>
          <w:bCs/>
          <w:color w:val="000000" w:themeColor="text1"/>
          <w:sz w:val="28"/>
          <w:szCs w:val="28"/>
        </w:rPr>
        <w:t xml:space="preserve">Ms. Burr reminded support coordination agencies and providers about the requirements for “Family as Paid Caregiver (FPC) </w:t>
      </w:r>
      <w:proofErr w:type="gramStart"/>
      <w:r>
        <w:rPr>
          <w:bCs/>
          <w:color w:val="000000" w:themeColor="text1"/>
          <w:sz w:val="28"/>
          <w:szCs w:val="28"/>
        </w:rPr>
        <w:t>Living</w:t>
      </w:r>
      <w:proofErr w:type="gramEnd"/>
      <w:r>
        <w:rPr>
          <w:bCs/>
          <w:color w:val="000000" w:themeColor="text1"/>
          <w:sz w:val="28"/>
          <w:szCs w:val="28"/>
        </w:rPr>
        <w:t xml:space="preserve"> with the Beneficiary.</w:t>
      </w:r>
    </w:p>
    <w:p w14:paraId="27324EB4" w14:textId="50021466" w:rsidR="004E09A3" w:rsidRDefault="004E09A3" w:rsidP="00467F8D">
      <w:pPr>
        <w:jc w:val="both"/>
        <w:rPr>
          <w:bCs/>
          <w:color w:val="000000" w:themeColor="text1"/>
          <w:sz w:val="28"/>
          <w:szCs w:val="28"/>
        </w:rPr>
      </w:pPr>
    </w:p>
    <w:p w14:paraId="7AD5720E" w14:textId="09EF1CC6" w:rsidR="004E09A3" w:rsidRPr="00681F87" w:rsidRDefault="004E09A3" w:rsidP="00467F8D">
      <w:pPr>
        <w:jc w:val="both"/>
        <w:rPr>
          <w:b/>
          <w:bCs/>
          <w:color w:val="000000" w:themeColor="text1"/>
          <w:sz w:val="28"/>
          <w:szCs w:val="28"/>
        </w:rPr>
      </w:pPr>
      <w:r w:rsidRPr="00681F87">
        <w:rPr>
          <w:b/>
          <w:bCs/>
          <w:color w:val="000000" w:themeColor="text1"/>
          <w:sz w:val="28"/>
          <w:szCs w:val="28"/>
        </w:rPr>
        <w:t>Support Coordinator (SC) Requirements:</w:t>
      </w:r>
    </w:p>
    <w:p w14:paraId="664257C0" w14:textId="77777777" w:rsidR="0069616F" w:rsidRPr="004E09A3" w:rsidRDefault="009F1EFB" w:rsidP="004E09A3">
      <w:pPr>
        <w:numPr>
          <w:ilvl w:val="0"/>
          <w:numId w:val="25"/>
        </w:numPr>
        <w:jc w:val="both"/>
        <w:rPr>
          <w:bCs/>
          <w:color w:val="000000" w:themeColor="text1"/>
          <w:sz w:val="28"/>
          <w:szCs w:val="28"/>
        </w:rPr>
      </w:pPr>
      <w:r w:rsidRPr="004E09A3">
        <w:rPr>
          <w:bCs/>
          <w:color w:val="000000" w:themeColor="text1"/>
          <w:sz w:val="28"/>
          <w:szCs w:val="28"/>
        </w:rPr>
        <w:t xml:space="preserve">Requires SC to perform Best Interest and Self Determination (BI/SD) Review with team at POC meeting </w:t>
      </w:r>
      <w:r w:rsidRPr="004E09A3">
        <w:rPr>
          <w:b/>
          <w:bCs/>
          <w:color w:val="000000" w:themeColor="text1"/>
          <w:sz w:val="28"/>
          <w:szCs w:val="28"/>
          <w:u w:val="single"/>
        </w:rPr>
        <w:t>every year</w:t>
      </w:r>
    </w:p>
    <w:p w14:paraId="1A2D4B00" w14:textId="77777777" w:rsidR="0069616F" w:rsidRPr="004E09A3" w:rsidRDefault="009F1EFB" w:rsidP="004E09A3">
      <w:pPr>
        <w:numPr>
          <w:ilvl w:val="0"/>
          <w:numId w:val="25"/>
        </w:numPr>
        <w:jc w:val="both"/>
        <w:rPr>
          <w:bCs/>
          <w:color w:val="000000" w:themeColor="text1"/>
          <w:sz w:val="28"/>
          <w:szCs w:val="28"/>
        </w:rPr>
      </w:pPr>
      <w:r w:rsidRPr="004E09A3">
        <w:rPr>
          <w:bCs/>
          <w:color w:val="000000" w:themeColor="text1"/>
          <w:sz w:val="28"/>
          <w:szCs w:val="28"/>
        </w:rPr>
        <w:t xml:space="preserve">Requires completion of “Family as Paid Caregiver” (FPC) Attestation </w:t>
      </w:r>
      <w:r w:rsidRPr="004E09A3">
        <w:rPr>
          <w:b/>
          <w:bCs/>
          <w:color w:val="000000" w:themeColor="text1"/>
          <w:sz w:val="28"/>
          <w:szCs w:val="28"/>
          <w:u w:val="single"/>
        </w:rPr>
        <w:t>every year</w:t>
      </w:r>
    </w:p>
    <w:p w14:paraId="28FE497A" w14:textId="63D28DFF" w:rsidR="004E09A3" w:rsidRDefault="009F1EFB" w:rsidP="003B3CD4">
      <w:pPr>
        <w:numPr>
          <w:ilvl w:val="0"/>
          <w:numId w:val="25"/>
        </w:numPr>
        <w:jc w:val="both"/>
        <w:rPr>
          <w:bCs/>
          <w:color w:val="000000" w:themeColor="text1"/>
          <w:sz w:val="28"/>
          <w:szCs w:val="28"/>
        </w:rPr>
      </w:pPr>
      <w:r w:rsidRPr="004E09A3">
        <w:rPr>
          <w:bCs/>
          <w:color w:val="000000" w:themeColor="text1"/>
          <w:sz w:val="28"/>
          <w:szCs w:val="28"/>
        </w:rPr>
        <w:t xml:space="preserve">Requires attestation to be entered into LaSRS by SC </w:t>
      </w:r>
      <w:r w:rsidRPr="004E09A3">
        <w:rPr>
          <w:b/>
          <w:bCs/>
          <w:color w:val="000000" w:themeColor="text1"/>
          <w:sz w:val="28"/>
          <w:szCs w:val="28"/>
          <w:u w:val="single"/>
        </w:rPr>
        <w:t>every year</w:t>
      </w:r>
      <w:r w:rsidR="004E09A3" w:rsidRPr="004E09A3">
        <w:rPr>
          <w:bCs/>
          <w:color w:val="000000" w:themeColor="text1"/>
          <w:sz w:val="28"/>
          <w:szCs w:val="28"/>
        </w:rPr>
        <w:t xml:space="preserve"> </w:t>
      </w:r>
    </w:p>
    <w:p w14:paraId="1F9E5877" w14:textId="77777777" w:rsidR="004E09A3" w:rsidRPr="004E09A3" w:rsidRDefault="004E09A3" w:rsidP="004E09A3">
      <w:pPr>
        <w:ind w:left="720"/>
        <w:jc w:val="both"/>
        <w:rPr>
          <w:bCs/>
          <w:color w:val="000000" w:themeColor="text1"/>
          <w:sz w:val="28"/>
          <w:szCs w:val="28"/>
        </w:rPr>
      </w:pPr>
    </w:p>
    <w:p w14:paraId="0CE39B1E" w14:textId="2415F1ED" w:rsidR="004E09A3" w:rsidRPr="00681F87" w:rsidRDefault="004E09A3" w:rsidP="004E09A3">
      <w:pPr>
        <w:jc w:val="both"/>
        <w:rPr>
          <w:b/>
          <w:bCs/>
          <w:color w:val="000000" w:themeColor="text1"/>
          <w:sz w:val="28"/>
          <w:szCs w:val="28"/>
        </w:rPr>
      </w:pPr>
      <w:r w:rsidRPr="00681F87">
        <w:rPr>
          <w:b/>
          <w:bCs/>
          <w:color w:val="000000" w:themeColor="text1"/>
          <w:sz w:val="28"/>
          <w:szCs w:val="28"/>
        </w:rPr>
        <w:t>Provider Requirements:</w:t>
      </w:r>
    </w:p>
    <w:p w14:paraId="02627AB3" w14:textId="18B48521" w:rsidR="0069616F" w:rsidRPr="004E09A3" w:rsidRDefault="009F1EFB" w:rsidP="004E09A3">
      <w:pPr>
        <w:pStyle w:val="ListParagraph"/>
        <w:numPr>
          <w:ilvl w:val="0"/>
          <w:numId w:val="27"/>
        </w:numPr>
        <w:jc w:val="both"/>
        <w:rPr>
          <w:bCs/>
          <w:color w:val="000000" w:themeColor="text1"/>
          <w:sz w:val="28"/>
          <w:szCs w:val="28"/>
        </w:rPr>
      </w:pPr>
      <w:r w:rsidRPr="004E09A3">
        <w:rPr>
          <w:bCs/>
          <w:color w:val="000000" w:themeColor="text1"/>
          <w:sz w:val="28"/>
          <w:szCs w:val="28"/>
        </w:rPr>
        <w:t>Ensure BI/SD Review has occurred for any beneficiary that has paid caregiver living with them</w:t>
      </w:r>
    </w:p>
    <w:p w14:paraId="1709E2B2" w14:textId="69B93B0C" w:rsidR="0069616F" w:rsidRPr="004E09A3" w:rsidRDefault="009F1EFB" w:rsidP="004E09A3">
      <w:pPr>
        <w:numPr>
          <w:ilvl w:val="0"/>
          <w:numId w:val="26"/>
        </w:numPr>
        <w:jc w:val="both"/>
        <w:rPr>
          <w:bCs/>
          <w:color w:val="000000" w:themeColor="text1"/>
          <w:sz w:val="28"/>
          <w:szCs w:val="28"/>
        </w:rPr>
      </w:pPr>
      <w:r w:rsidRPr="004E09A3">
        <w:rPr>
          <w:bCs/>
          <w:color w:val="000000" w:themeColor="text1"/>
          <w:sz w:val="28"/>
          <w:szCs w:val="28"/>
        </w:rPr>
        <w:t xml:space="preserve">Ensure paid caregiver views </w:t>
      </w:r>
      <w:hyperlink r:id="rId12" w:history="1">
        <w:r w:rsidR="00CD4AB7" w:rsidRPr="00CD4AB7">
          <w:rPr>
            <w:rStyle w:val="Hyperlink"/>
            <w:bCs/>
            <w:sz w:val="28"/>
            <w:szCs w:val="28"/>
          </w:rPr>
          <w:t>slide presentation</w:t>
        </w:r>
      </w:hyperlink>
      <w:r w:rsidRPr="004E09A3">
        <w:rPr>
          <w:bCs/>
          <w:color w:val="000000" w:themeColor="text1"/>
          <w:sz w:val="28"/>
          <w:szCs w:val="28"/>
        </w:rPr>
        <w:t xml:space="preserve"> regarding responsibilities</w:t>
      </w:r>
    </w:p>
    <w:p w14:paraId="714A8CF2" w14:textId="1B6C77F1" w:rsidR="0069616F" w:rsidRPr="004E09A3" w:rsidRDefault="009F1EFB" w:rsidP="004E09A3">
      <w:pPr>
        <w:numPr>
          <w:ilvl w:val="0"/>
          <w:numId w:val="26"/>
        </w:numPr>
        <w:jc w:val="both"/>
        <w:rPr>
          <w:bCs/>
          <w:color w:val="000000" w:themeColor="text1"/>
          <w:sz w:val="28"/>
          <w:szCs w:val="28"/>
        </w:rPr>
      </w:pPr>
      <w:r w:rsidRPr="004E09A3">
        <w:rPr>
          <w:bCs/>
          <w:color w:val="000000" w:themeColor="text1"/>
          <w:sz w:val="28"/>
          <w:szCs w:val="28"/>
        </w:rPr>
        <w:t xml:space="preserve">Ensure paid caregiver completes FPC </w:t>
      </w:r>
      <w:hyperlink r:id="rId13" w:history="1">
        <w:r w:rsidR="00CD4AB7">
          <w:rPr>
            <w:rStyle w:val="Hyperlink"/>
            <w:bCs/>
            <w:sz w:val="28"/>
            <w:szCs w:val="28"/>
          </w:rPr>
          <w:t>A</w:t>
        </w:r>
        <w:r w:rsidRPr="00CD4AB7">
          <w:rPr>
            <w:rStyle w:val="Hyperlink"/>
            <w:bCs/>
            <w:sz w:val="28"/>
            <w:szCs w:val="28"/>
          </w:rPr>
          <w:t>ttestation</w:t>
        </w:r>
      </w:hyperlink>
      <w:r w:rsidRPr="004E09A3">
        <w:rPr>
          <w:bCs/>
          <w:color w:val="000000" w:themeColor="text1"/>
          <w:sz w:val="28"/>
          <w:szCs w:val="28"/>
        </w:rPr>
        <w:t xml:space="preserve"> and </w:t>
      </w:r>
      <w:r w:rsidR="004E09A3">
        <w:rPr>
          <w:bCs/>
          <w:color w:val="000000" w:themeColor="text1"/>
          <w:sz w:val="28"/>
          <w:szCs w:val="28"/>
        </w:rPr>
        <w:t xml:space="preserve">the provider </w:t>
      </w:r>
      <w:r w:rsidRPr="004E09A3">
        <w:rPr>
          <w:bCs/>
          <w:color w:val="000000" w:themeColor="text1"/>
          <w:sz w:val="28"/>
          <w:szCs w:val="28"/>
        </w:rPr>
        <w:t>return</w:t>
      </w:r>
      <w:r w:rsidR="004E09A3">
        <w:rPr>
          <w:bCs/>
          <w:color w:val="000000" w:themeColor="text1"/>
          <w:sz w:val="28"/>
          <w:szCs w:val="28"/>
        </w:rPr>
        <w:t>s</w:t>
      </w:r>
      <w:r w:rsidRPr="004E09A3">
        <w:rPr>
          <w:bCs/>
          <w:color w:val="000000" w:themeColor="text1"/>
          <w:sz w:val="28"/>
          <w:szCs w:val="28"/>
        </w:rPr>
        <w:t xml:space="preserve"> it to SC for data entry</w:t>
      </w:r>
    </w:p>
    <w:p w14:paraId="540E1F4B" w14:textId="77777777" w:rsidR="0069616F" w:rsidRPr="004E09A3" w:rsidRDefault="009F1EFB" w:rsidP="004E09A3">
      <w:pPr>
        <w:numPr>
          <w:ilvl w:val="0"/>
          <w:numId w:val="26"/>
        </w:numPr>
        <w:jc w:val="both"/>
        <w:rPr>
          <w:bCs/>
          <w:color w:val="000000" w:themeColor="text1"/>
          <w:sz w:val="28"/>
          <w:szCs w:val="28"/>
        </w:rPr>
      </w:pPr>
      <w:r w:rsidRPr="004E09A3">
        <w:rPr>
          <w:bCs/>
          <w:color w:val="000000" w:themeColor="text1"/>
          <w:sz w:val="28"/>
          <w:szCs w:val="28"/>
        </w:rPr>
        <w:t>Do not allow paid caregiver to work more than 40 per week with beneficiary</w:t>
      </w:r>
    </w:p>
    <w:p w14:paraId="32123A56" w14:textId="7EB85A8A" w:rsidR="004E09A3" w:rsidRDefault="004E09A3" w:rsidP="004E09A3">
      <w:pPr>
        <w:jc w:val="both"/>
        <w:rPr>
          <w:bCs/>
          <w:color w:val="000000" w:themeColor="text1"/>
          <w:sz w:val="28"/>
          <w:szCs w:val="28"/>
        </w:rPr>
      </w:pPr>
    </w:p>
    <w:p w14:paraId="63182E9D" w14:textId="77777777" w:rsidR="00F12ADD" w:rsidRDefault="004E09A3" w:rsidP="004E09A3">
      <w:pPr>
        <w:jc w:val="both"/>
        <w:rPr>
          <w:bCs/>
          <w:color w:val="000000" w:themeColor="text1"/>
          <w:sz w:val="28"/>
          <w:szCs w:val="28"/>
        </w:rPr>
      </w:pPr>
      <w:r>
        <w:rPr>
          <w:bCs/>
          <w:color w:val="000000" w:themeColor="text1"/>
          <w:sz w:val="28"/>
          <w:szCs w:val="28"/>
        </w:rPr>
        <w:t xml:space="preserve">In addition, there is one more requirement. </w:t>
      </w:r>
      <w:r w:rsidR="00F12ADD">
        <w:rPr>
          <w:bCs/>
          <w:color w:val="000000" w:themeColor="text1"/>
          <w:sz w:val="28"/>
          <w:szCs w:val="28"/>
        </w:rPr>
        <w:t>A legally responsible individual (LRI) is defined as:</w:t>
      </w:r>
    </w:p>
    <w:p w14:paraId="25C96FFF" w14:textId="77777777" w:rsidR="00F12ADD" w:rsidRDefault="00F12ADD" w:rsidP="00F12ADD">
      <w:pPr>
        <w:pStyle w:val="ListParagraph"/>
        <w:numPr>
          <w:ilvl w:val="0"/>
          <w:numId w:val="28"/>
        </w:numPr>
        <w:jc w:val="both"/>
        <w:rPr>
          <w:bCs/>
          <w:color w:val="000000" w:themeColor="text1"/>
          <w:sz w:val="28"/>
          <w:szCs w:val="28"/>
        </w:rPr>
      </w:pPr>
      <w:r>
        <w:rPr>
          <w:bCs/>
          <w:color w:val="000000" w:themeColor="text1"/>
          <w:sz w:val="28"/>
          <w:szCs w:val="28"/>
        </w:rPr>
        <w:t>Parent of a minor child</w:t>
      </w:r>
    </w:p>
    <w:p w14:paraId="3BDA6114" w14:textId="77777777" w:rsidR="00F12ADD" w:rsidRDefault="00F12ADD" w:rsidP="00F12ADD">
      <w:pPr>
        <w:pStyle w:val="ListParagraph"/>
        <w:numPr>
          <w:ilvl w:val="0"/>
          <w:numId w:val="28"/>
        </w:numPr>
        <w:jc w:val="both"/>
        <w:rPr>
          <w:bCs/>
          <w:color w:val="000000" w:themeColor="text1"/>
          <w:sz w:val="28"/>
          <w:szCs w:val="28"/>
        </w:rPr>
      </w:pPr>
      <w:r>
        <w:rPr>
          <w:bCs/>
          <w:color w:val="000000" w:themeColor="text1"/>
          <w:sz w:val="28"/>
          <w:szCs w:val="28"/>
        </w:rPr>
        <w:t>Spouse</w:t>
      </w:r>
    </w:p>
    <w:p w14:paraId="43CB1521" w14:textId="77777777" w:rsidR="00F12ADD" w:rsidRPr="00F12ADD" w:rsidRDefault="00F12ADD" w:rsidP="00F12ADD">
      <w:pPr>
        <w:pStyle w:val="ListParagraph"/>
        <w:numPr>
          <w:ilvl w:val="0"/>
          <w:numId w:val="28"/>
        </w:numPr>
        <w:jc w:val="both"/>
        <w:rPr>
          <w:bCs/>
          <w:color w:val="000000" w:themeColor="text1"/>
          <w:sz w:val="28"/>
          <w:szCs w:val="28"/>
        </w:rPr>
      </w:pPr>
      <w:r>
        <w:rPr>
          <w:bCs/>
          <w:color w:val="000000" w:themeColor="text1"/>
          <w:sz w:val="28"/>
          <w:szCs w:val="28"/>
        </w:rPr>
        <w:t>Curator/Tutor (requires a court document that is signed by a judge). This does not include a “power of attorney”.</w:t>
      </w:r>
    </w:p>
    <w:p w14:paraId="5B6B94F2" w14:textId="77777777" w:rsidR="00F12ADD" w:rsidRDefault="00F12ADD" w:rsidP="004E09A3">
      <w:pPr>
        <w:jc w:val="both"/>
        <w:rPr>
          <w:bCs/>
          <w:color w:val="000000" w:themeColor="text1"/>
          <w:sz w:val="28"/>
          <w:szCs w:val="28"/>
        </w:rPr>
      </w:pPr>
    </w:p>
    <w:p w14:paraId="6818831E" w14:textId="77777777" w:rsidR="00F12ADD" w:rsidRDefault="00F12ADD" w:rsidP="004E09A3">
      <w:pPr>
        <w:jc w:val="both"/>
        <w:rPr>
          <w:bCs/>
          <w:color w:val="000000" w:themeColor="text1"/>
          <w:sz w:val="28"/>
          <w:szCs w:val="28"/>
        </w:rPr>
      </w:pPr>
    </w:p>
    <w:p w14:paraId="01765660" w14:textId="78C6BA16" w:rsidR="004E09A3" w:rsidRDefault="004E09A3" w:rsidP="004E09A3">
      <w:pPr>
        <w:jc w:val="both"/>
        <w:rPr>
          <w:bCs/>
          <w:color w:val="000000" w:themeColor="text1"/>
          <w:sz w:val="28"/>
          <w:szCs w:val="28"/>
        </w:rPr>
      </w:pPr>
      <w:r>
        <w:rPr>
          <w:bCs/>
          <w:color w:val="000000" w:themeColor="text1"/>
          <w:sz w:val="28"/>
          <w:szCs w:val="28"/>
        </w:rPr>
        <w:t xml:space="preserve">If a legally responsible individual (LRI) </w:t>
      </w:r>
      <w:r w:rsidR="00F12ADD">
        <w:rPr>
          <w:bCs/>
          <w:color w:val="000000" w:themeColor="text1"/>
          <w:sz w:val="28"/>
          <w:szCs w:val="28"/>
        </w:rPr>
        <w:t>is a paid caregiver for</w:t>
      </w:r>
      <w:r>
        <w:rPr>
          <w:bCs/>
          <w:color w:val="000000" w:themeColor="text1"/>
          <w:sz w:val="28"/>
          <w:szCs w:val="28"/>
        </w:rPr>
        <w:t xml:space="preserve"> the beneficiary</w:t>
      </w:r>
      <w:r w:rsidR="00F12ADD">
        <w:rPr>
          <w:bCs/>
          <w:color w:val="000000" w:themeColor="text1"/>
          <w:sz w:val="28"/>
          <w:szCs w:val="28"/>
        </w:rPr>
        <w:t xml:space="preserve"> then the following also applies:</w:t>
      </w:r>
    </w:p>
    <w:p w14:paraId="446918B8" w14:textId="77777777" w:rsidR="00F12ADD" w:rsidRDefault="00F12ADD" w:rsidP="004E09A3">
      <w:pPr>
        <w:jc w:val="both"/>
        <w:rPr>
          <w:bCs/>
          <w:color w:val="000000" w:themeColor="text1"/>
          <w:sz w:val="28"/>
          <w:szCs w:val="28"/>
        </w:rPr>
      </w:pPr>
    </w:p>
    <w:p w14:paraId="44922B78" w14:textId="7B647610" w:rsidR="00F12ADD" w:rsidRDefault="00F12ADD" w:rsidP="00F12ADD">
      <w:pPr>
        <w:pStyle w:val="ListParagraph"/>
        <w:numPr>
          <w:ilvl w:val="0"/>
          <w:numId w:val="27"/>
        </w:numPr>
        <w:jc w:val="both"/>
        <w:rPr>
          <w:bCs/>
          <w:color w:val="000000" w:themeColor="text1"/>
          <w:sz w:val="28"/>
          <w:szCs w:val="28"/>
        </w:rPr>
      </w:pPr>
      <w:r>
        <w:rPr>
          <w:bCs/>
          <w:color w:val="000000" w:themeColor="text1"/>
          <w:sz w:val="28"/>
          <w:szCs w:val="28"/>
        </w:rPr>
        <w:t>SC must also perform the “extraordinary care” review during the annual POC meeting every year.</w:t>
      </w:r>
    </w:p>
    <w:p w14:paraId="206772F2" w14:textId="49EDDAC3" w:rsidR="00F12ADD" w:rsidRDefault="00F12ADD" w:rsidP="00F12ADD">
      <w:pPr>
        <w:pStyle w:val="ListParagraph"/>
        <w:numPr>
          <w:ilvl w:val="0"/>
          <w:numId w:val="27"/>
        </w:numPr>
        <w:jc w:val="both"/>
        <w:rPr>
          <w:bCs/>
          <w:color w:val="000000" w:themeColor="text1"/>
          <w:sz w:val="28"/>
          <w:szCs w:val="28"/>
        </w:rPr>
      </w:pPr>
      <w:r>
        <w:rPr>
          <w:bCs/>
          <w:color w:val="000000" w:themeColor="text1"/>
          <w:sz w:val="28"/>
          <w:szCs w:val="28"/>
        </w:rPr>
        <w:t xml:space="preserve">LRI must complete the Family as Paid Caregiver (FPC) </w:t>
      </w:r>
      <w:hyperlink r:id="rId14" w:history="1">
        <w:r w:rsidR="00CD4AB7">
          <w:rPr>
            <w:rStyle w:val="Hyperlink"/>
            <w:bCs/>
            <w:sz w:val="28"/>
            <w:szCs w:val="28"/>
          </w:rPr>
          <w:t>A</w:t>
        </w:r>
        <w:r w:rsidRPr="00CD4AB7">
          <w:rPr>
            <w:rStyle w:val="Hyperlink"/>
            <w:bCs/>
            <w:sz w:val="28"/>
            <w:szCs w:val="28"/>
          </w:rPr>
          <w:t>ttestation</w:t>
        </w:r>
      </w:hyperlink>
      <w:r>
        <w:rPr>
          <w:bCs/>
          <w:color w:val="000000" w:themeColor="text1"/>
          <w:sz w:val="28"/>
          <w:szCs w:val="28"/>
        </w:rPr>
        <w:t xml:space="preserve"> every year</w:t>
      </w:r>
      <w:r w:rsidR="00CD4AB7">
        <w:rPr>
          <w:bCs/>
          <w:color w:val="000000" w:themeColor="text1"/>
          <w:sz w:val="28"/>
          <w:szCs w:val="28"/>
        </w:rPr>
        <w:t>.</w:t>
      </w:r>
    </w:p>
    <w:p w14:paraId="0168606F" w14:textId="0D8F34EB" w:rsidR="00F12ADD" w:rsidRPr="00F12ADD" w:rsidRDefault="00F12ADD" w:rsidP="00F12ADD">
      <w:pPr>
        <w:pStyle w:val="ListParagraph"/>
        <w:numPr>
          <w:ilvl w:val="0"/>
          <w:numId w:val="27"/>
        </w:numPr>
        <w:jc w:val="both"/>
        <w:rPr>
          <w:bCs/>
          <w:color w:val="000000" w:themeColor="text1"/>
          <w:sz w:val="28"/>
          <w:szCs w:val="28"/>
        </w:rPr>
      </w:pPr>
      <w:r>
        <w:rPr>
          <w:bCs/>
          <w:color w:val="000000" w:themeColor="text1"/>
          <w:sz w:val="28"/>
          <w:szCs w:val="28"/>
        </w:rPr>
        <w:t xml:space="preserve">SC must enter the FPC Attestation in LaSRS </w:t>
      </w:r>
      <w:r w:rsidRPr="00681F87">
        <w:rPr>
          <w:b/>
          <w:bCs/>
          <w:i/>
          <w:color w:val="000000" w:themeColor="text1"/>
          <w:sz w:val="28"/>
          <w:szCs w:val="28"/>
          <w:u w:val="single"/>
        </w:rPr>
        <w:t>IF</w:t>
      </w:r>
      <w:r>
        <w:rPr>
          <w:bCs/>
          <w:color w:val="000000" w:themeColor="text1"/>
          <w:sz w:val="28"/>
          <w:szCs w:val="28"/>
        </w:rPr>
        <w:t xml:space="preserve"> the LRI also lives with the beneficiary.  If the LRI does not live with the beneficiary, then</w:t>
      </w:r>
      <w:r w:rsidR="00CD4AB7">
        <w:rPr>
          <w:bCs/>
          <w:color w:val="000000" w:themeColor="text1"/>
          <w:sz w:val="28"/>
          <w:szCs w:val="28"/>
        </w:rPr>
        <w:t xml:space="preserve"> the SC does NOT enter the FPC A</w:t>
      </w:r>
      <w:r>
        <w:rPr>
          <w:bCs/>
          <w:color w:val="000000" w:themeColor="text1"/>
          <w:sz w:val="28"/>
          <w:szCs w:val="28"/>
        </w:rPr>
        <w:t>ttestation in LaSRS.</w:t>
      </w:r>
    </w:p>
    <w:p w14:paraId="43BBF189" w14:textId="369A6AC5" w:rsidR="004E09A3" w:rsidRDefault="004E09A3" w:rsidP="00467F8D">
      <w:pPr>
        <w:jc w:val="both"/>
        <w:rPr>
          <w:bCs/>
          <w:color w:val="000000" w:themeColor="text1"/>
          <w:sz w:val="28"/>
          <w:szCs w:val="28"/>
        </w:rPr>
      </w:pPr>
    </w:p>
    <w:p w14:paraId="5CFEC8AD" w14:textId="58122AD6" w:rsidR="00F12ADD" w:rsidRDefault="00F12ADD" w:rsidP="00467F8D">
      <w:pPr>
        <w:jc w:val="both"/>
        <w:rPr>
          <w:bCs/>
          <w:color w:val="000000" w:themeColor="text1"/>
          <w:sz w:val="28"/>
          <w:szCs w:val="28"/>
        </w:rPr>
      </w:pPr>
    </w:p>
    <w:sectPr w:rsidR="00F12AD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E8B01" w14:textId="77777777" w:rsidR="003F1025" w:rsidRDefault="003F1025" w:rsidP="002D1224">
      <w:r>
        <w:separator/>
      </w:r>
    </w:p>
  </w:endnote>
  <w:endnote w:type="continuationSeparator" w:id="0">
    <w:p w14:paraId="4EDA0819" w14:textId="77777777" w:rsidR="003F1025" w:rsidRDefault="003F1025" w:rsidP="002D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17FE" w14:textId="77777777" w:rsidR="002D1224" w:rsidRDefault="002D1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DB8AE" w14:textId="77777777" w:rsidR="002D1224" w:rsidRDefault="002D12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5513" w14:textId="77777777" w:rsidR="002D1224" w:rsidRDefault="002D1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7E4E" w14:textId="77777777" w:rsidR="003F1025" w:rsidRDefault="003F1025" w:rsidP="002D1224">
      <w:r>
        <w:separator/>
      </w:r>
    </w:p>
  </w:footnote>
  <w:footnote w:type="continuationSeparator" w:id="0">
    <w:p w14:paraId="2665B7B4" w14:textId="77777777" w:rsidR="003F1025" w:rsidRDefault="003F1025" w:rsidP="002D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EE44" w14:textId="77777777" w:rsidR="002D1224" w:rsidRDefault="002D1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B837" w14:textId="7359BF28" w:rsidR="002D1224" w:rsidRDefault="002D12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4C32D" w14:textId="77777777" w:rsidR="002D1224" w:rsidRDefault="002D1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94"/>
    <w:multiLevelType w:val="hybridMultilevel"/>
    <w:tmpl w:val="B2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D332A"/>
    <w:multiLevelType w:val="hybridMultilevel"/>
    <w:tmpl w:val="3202E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3D20"/>
    <w:multiLevelType w:val="hybridMultilevel"/>
    <w:tmpl w:val="5E262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D73968"/>
    <w:multiLevelType w:val="hybridMultilevel"/>
    <w:tmpl w:val="F218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D2609"/>
    <w:multiLevelType w:val="hybridMultilevel"/>
    <w:tmpl w:val="F8E2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C3F88"/>
    <w:multiLevelType w:val="hybridMultilevel"/>
    <w:tmpl w:val="106EA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843EC"/>
    <w:multiLevelType w:val="hybridMultilevel"/>
    <w:tmpl w:val="D8527C10"/>
    <w:lvl w:ilvl="0" w:tplc="CF00D9E6">
      <w:start w:val="1"/>
      <w:numFmt w:val="bullet"/>
      <w:lvlText w:val="•"/>
      <w:lvlJc w:val="left"/>
      <w:pPr>
        <w:tabs>
          <w:tab w:val="num" w:pos="720"/>
        </w:tabs>
        <w:ind w:left="720" w:hanging="360"/>
      </w:pPr>
      <w:rPr>
        <w:rFonts w:ascii="Arial" w:hAnsi="Arial" w:hint="default"/>
      </w:rPr>
    </w:lvl>
    <w:lvl w:ilvl="1" w:tplc="C94AD694" w:tentative="1">
      <w:start w:val="1"/>
      <w:numFmt w:val="bullet"/>
      <w:lvlText w:val="•"/>
      <w:lvlJc w:val="left"/>
      <w:pPr>
        <w:tabs>
          <w:tab w:val="num" w:pos="1440"/>
        </w:tabs>
        <w:ind w:left="1440" w:hanging="360"/>
      </w:pPr>
      <w:rPr>
        <w:rFonts w:ascii="Arial" w:hAnsi="Arial" w:hint="default"/>
      </w:rPr>
    </w:lvl>
    <w:lvl w:ilvl="2" w:tplc="A0F45304" w:tentative="1">
      <w:start w:val="1"/>
      <w:numFmt w:val="bullet"/>
      <w:lvlText w:val="•"/>
      <w:lvlJc w:val="left"/>
      <w:pPr>
        <w:tabs>
          <w:tab w:val="num" w:pos="2160"/>
        </w:tabs>
        <w:ind w:left="2160" w:hanging="360"/>
      </w:pPr>
      <w:rPr>
        <w:rFonts w:ascii="Arial" w:hAnsi="Arial" w:hint="default"/>
      </w:rPr>
    </w:lvl>
    <w:lvl w:ilvl="3" w:tplc="593CC818" w:tentative="1">
      <w:start w:val="1"/>
      <w:numFmt w:val="bullet"/>
      <w:lvlText w:val="•"/>
      <w:lvlJc w:val="left"/>
      <w:pPr>
        <w:tabs>
          <w:tab w:val="num" w:pos="2880"/>
        </w:tabs>
        <w:ind w:left="2880" w:hanging="360"/>
      </w:pPr>
      <w:rPr>
        <w:rFonts w:ascii="Arial" w:hAnsi="Arial" w:hint="default"/>
      </w:rPr>
    </w:lvl>
    <w:lvl w:ilvl="4" w:tplc="FE8CFBF0" w:tentative="1">
      <w:start w:val="1"/>
      <w:numFmt w:val="bullet"/>
      <w:lvlText w:val="•"/>
      <w:lvlJc w:val="left"/>
      <w:pPr>
        <w:tabs>
          <w:tab w:val="num" w:pos="3600"/>
        </w:tabs>
        <w:ind w:left="3600" w:hanging="360"/>
      </w:pPr>
      <w:rPr>
        <w:rFonts w:ascii="Arial" w:hAnsi="Arial" w:hint="default"/>
      </w:rPr>
    </w:lvl>
    <w:lvl w:ilvl="5" w:tplc="BE767054" w:tentative="1">
      <w:start w:val="1"/>
      <w:numFmt w:val="bullet"/>
      <w:lvlText w:val="•"/>
      <w:lvlJc w:val="left"/>
      <w:pPr>
        <w:tabs>
          <w:tab w:val="num" w:pos="4320"/>
        </w:tabs>
        <w:ind w:left="4320" w:hanging="360"/>
      </w:pPr>
      <w:rPr>
        <w:rFonts w:ascii="Arial" w:hAnsi="Arial" w:hint="default"/>
      </w:rPr>
    </w:lvl>
    <w:lvl w:ilvl="6" w:tplc="B69C06B8" w:tentative="1">
      <w:start w:val="1"/>
      <w:numFmt w:val="bullet"/>
      <w:lvlText w:val="•"/>
      <w:lvlJc w:val="left"/>
      <w:pPr>
        <w:tabs>
          <w:tab w:val="num" w:pos="5040"/>
        </w:tabs>
        <w:ind w:left="5040" w:hanging="360"/>
      </w:pPr>
      <w:rPr>
        <w:rFonts w:ascii="Arial" w:hAnsi="Arial" w:hint="default"/>
      </w:rPr>
    </w:lvl>
    <w:lvl w:ilvl="7" w:tplc="36B63DC6" w:tentative="1">
      <w:start w:val="1"/>
      <w:numFmt w:val="bullet"/>
      <w:lvlText w:val="•"/>
      <w:lvlJc w:val="left"/>
      <w:pPr>
        <w:tabs>
          <w:tab w:val="num" w:pos="5760"/>
        </w:tabs>
        <w:ind w:left="5760" w:hanging="360"/>
      </w:pPr>
      <w:rPr>
        <w:rFonts w:ascii="Arial" w:hAnsi="Arial" w:hint="default"/>
      </w:rPr>
    </w:lvl>
    <w:lvl w:ilvl="8" w:tplc="6082C5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29093C"/>
    <w:multiLevelType w:val="hybridMultilevel"/>
    <w:tmpl w:val="005A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02E60"/>
    <w:multiLevelType w:val="hybridMultilevel"/>
    <w:tmpl w:val="ABCC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22AFA"/>
    <w:multiLevelType w:val="hybridMultilevel"/>
    <w:tmpl w:val="EA5A3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47CD2"/>
    <w:multiLevelType w:val="hybridMultilevel"/>
    <w:tmpl w:val="A8D0B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62AD3"/>
    <w:multiLevelType w:val="hybridMultilevel"/>
    <w:tmpl w:val="33CC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700FB"/>
    <w:multiLevelType w:val="hybridMultilevel"/>
    <w:tmpl w:val="BB8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F6727"/>
    <w:multiLevelType w:val="hybridMultilevel"/>
    <w:tmpl w:val="007250B6"/>
    <w:lvl w:ilvl="0" w:tplc="CC04696C">
      <w:start w:val="1"/>
      <w:numFmt w:val="bullet"/>
      <w:lvlText w:val="•"/>
      <w:lvlJc w:val="left"/>
      <w:pPr>
        <w:tabs>
          <w:tab w:val="num" w:pos="720"/>
        </w:tabs>
        <w:ind w:left="720" w:hanging="360"/>
      </w:pPr>
      <w:rPr>
        <w:rFonts w:ascii="Arial" w:hAnsi="Arial" w:hint="default"/>
      </w:rPr>
    </w:lvl>
    <w:lvl w:ilvl="1" w:tplc="E9108B6E" w:tentative="1">
      <w:start w:val="1"/>
      <w:numFmt w:val="bullet"/>
      <w:lvlText w:val="•"/>
      <w:lvlJc w:val="left"/>
      <w:pPr>
        <w:tabs>
          <w:tab w:val="num" w:pos="1440"/>
        </w:tabs>
        <w:ind w:left="1440" w:hanging="360"/>
      </w:pPr>
      <w:rPr>
        <w:rFonts w:ascii="Arial" w:hAnsi="Arial" w:hint="default"/>
      </w:rPr>
    </w:lvl>
    <w:lvl w:ilvl="2" w:tplc="73AC28F4" w:tentative="1">
      <w:start w:val="1"/>
      <w:numFmt w:val="bullet"/>
      <w:lvlText w:val="•"/>
      <w:lvlJc w:val="left"/>
      <w:pPr>
        <w:tabs>
          <w:tab w:val="num" w:pos="2160"/>
        </w:tabs>
        <w:ind w:left="2160" w:hanging="360"/>
      </w:pPr>
      <w:rPr>
        <w:rFonts w:ascii="Arial" w:hAnsi="Arial" w:hint="default"/>
      </w:rPr>
    </w:lvl>
    <w:lvl w:ilvl="3" w:tplc="88000A50" w:tentative="1">
      <w:start w:val="1"/>
      <w:numFmt w:val="bullet"/>
      <w:lvlText w:val="•"/>
      <w:lvlJc w:val="left"/>
      <w:pPr>
        <w:tabs>
          <w:tab w:val="num" w:pos="2880"/>
        </w:tabs>
        <w:ind w:left="2880" w:hanging="360"/>
      </w:pPr>
      <w:rPr>
        <w:rFonts w:ascii="Arial" w:hAnsi="Arial" w:hint="default"/>
      </w:rPr>
    </w:lvl>
    <w:lvl w:ilvl="4" w:tplc="F0B0548A" w:tentative="1">
      <w:start w:val="1"/>
      <w:numFmt w:val="bullet"/>
      <w:lvlText w:val="•"/>
      <w:lvlJc w:val="left"/>
      <w:pPr>
        <w:tabs>
          <w:tab w:val="num" w:pos="3600"/>
        </w:tabs>
        <w:ind w:left="3600" w:hanging="360"/>
      </w:pPr>
      <w:rPr>
        <w:rFonts w:ascii="Arial" w:hAnsi="Arial" w:hint="default"/>
      </w:rPr>
    </w:lvl>
    <w:lvl w:ilvl="5" w:tplc="8CBA3F54" w:tentative="1">
      <w:start w:val="1"/>
      <w:numFmt w:val="bullet"/>
      <w:lvlText w:val="•"/>
      <w:lvlJc w:val="left"/>
      <w:pPr>
        <w:tabs>
          <w:tab w:val="num" w:pos="4320"/>
        </w:tabs>
        <w:ind w:left="4320" w:hanging="360"/>
      </w:pPr>
      <w:rPr>
        <w:rFonts w:ascii="Arial" w:hAnsi="Arial" w:hint="default"/>
      </w:rPr>
    </w:lvl>
    <w:lvl w:ilvl="6" w:tplc="0EE239A6" w:tentative="1">
      <w:start w:val="1"/>
      <w:numFmt w:val="bullet"/>
      <w:lvlText w:val="•"/>
      <w:lvlJc w:val="left"/>
      <w:pPr>
        <w:tabs>
          <w:tab w:val="num" w:pos="5040"/>
        </w:tabs>
        <w:ind w:left="5040" w:hanging="360"/>
      </w:pPr>
      <w:rPr>
        <w:rFonts w:ascii="Arial" w:hAnsi="Arial" w:hint="default"/>
      </w:rPr>
    </w:lvl>
    <w:lvl w:ilvl="7" w:tplc="034AABF0" w:tentative="1">
      <w:start w:val="1"/>
      <w:numFmt w:val="bullet"/>
      <w:lvlText w:val="•"/>
      <w:lvlJc w:val="left"/>
      <w:pPr>
        <w:tabs>
          <w:tab w:val="num" w:pos="5760"/>
        </w:tabs>
        <w:ind w:left="5760" w:hanging="360"/>
      </w:pPr>
      <w:rPr>
        <w:rFonts w:ascii="Arial" w:hAnsi="Arial" w:hint="default"/>
      </w:rPr>
    </w:lvl>
    <w:lvl w:ilvl="8" w:tplc="952416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344C27"/>
    <w:multiLevelType w:val="hybridMultilevel"/>
    <w:tmpl w:val="9B02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379D0"/>
    <w:multiLevelType w:val="hybridMultilevel"/>
    <w:tmpl w:val="0968427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410C28C2"/>
    <w:multiLevelType w:val="hybridMultilevel"/>
    <w:tmpl w:val="D5D4C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37066"/>
    <w:multiLevelType w:val="hybridMultilevel"/>
    <w:tmpl w:val="74427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B0712"/>
    <w:multiLevelType w:val="hybridMultilevel"/>
    <w:tmpl w:val="66BA88EC"/>
    <w:lvl w:ilvl="0" w:tplc="36EA1B2C">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CDB2334"/>
    <w:multiLevelType w:val="hybridMultilevel"/>
    <w:tmpl w:val="3C3E9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002EB"/>
    <w:multiLevelType w:val="hybridMultilevel"/>
    <w:tmpl w:val="3C3E9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74FA7"/>
    <w:multiLevelType w:val="hybridMultilevel"/>
    <w:tmpl w:val="19C2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378D7"/>
    <w:multiLevelType w:val="hybridMultilevel"/>
    <w:tmpl w:val="77603D52"/>
    <w:lvl w:ilvl="0" w:tplc="4F980A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209FA"/>
    <w:multiLevelType w:val="hybridMultilevel"/>
    <w:tmpl w:val="F6583B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37414F"/>
    <w:multiLevelType w:val="hybridMultilevel"/>
    <w:tmpl w:val="490A52FA"/>
    <w:lvl w:ilvl="0" w:tplc="4F980A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EA2F6D"/>
    <w:multiLevelType w:val="hybridMultilevel"/>
    <w:tmpl w:val="4B98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6793C"/>
    <w:multiLevelType w:val="hybridMultilevel"/>
    <w:tmpl w:val="33D4A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A7D39"/>
    <w:multiLevelType w:val="hybridMultilevel"/>
    <w:tmpl w:val="8EE8E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C591A"/>
    <w:multiLevelType w:val="hybridMultilevel"/>
    <w:tmpl w:val="1818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B82A46"/>
    <w:multiLevelType w:val="hybridMultilevel"/>
    <w:tmpl w:val="DAFA3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B28CF"/>
    <w:multiLevelType w:val="hybridMultilevel"/>
    <w:tmpl w:val="8D64B23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25"/>
  </w:num>
  <w:num w:numId="5">
    <w:abstractNumId w:val="8"/>
  </w:num>
  <w:num w:numId="6">
    <w:abstractNumId w:val="0"/>
  </w:num>
  <w:num w:numId="7">
    <w:abstractNumId w:val="15"/>
  </w:num>
  <w:num w:numId="8">
    <w:abstractNumId w:val="26"/>
  </w:num>
  <w:num w:numId="9">
    <w:abstractNumId w:val="9"/>
  </w:num>
  <w:num w:numId="10">
    <w:abstractNumId w:val="10"/>
  </w:num>
  <w:num w:numId="11">
    <w:abstractNumId w:val="20"/>
  </w:num>
  <w:num w:numId="12">
    <w:abstractNumId w:val="19"/>
  </w:num>
  <w:num w:numId="13">
    <w:abstractNumId w:val="23"/>
  </w:num>
  <w:num w:numId="14">
    <w:abstractNumId w:val="2"/>
  </w:num>
  <w:num w:numId="15">
    <w:abstractNumId w:val="11"/>
  </w:num>
  <w:num w:numId="16">
    <w:abstractNumId w:val="12"/>
  </w:num>
  <w:num w:numId="17">
    <w:abstractNumId w:val="17"/>
  </w:num>
  <w:num w:numId="18">
    <w:abstractNumId w:val="18"/>
  </w:num>
  <w:num w:numId="19">
    <w:abstractNumId w:val="28"/>
  </w:num>
  <w:num w:numId="20">
    <w:abstractNumId w:val="30"/>
  </w:num>
  <w:num w:numId="21">
    <w:abstractNumId w:val="5"/>
  </w:num>
  <w:num w:numId="22">
    <w:abstractNumId w:val="16"/>
  </w:num>
  <w:num w:numId="23">
    <w:abstractNumId w:val="29"/>
  </w:num>
  <w:num w:numId="24">
    <w:abstractNumId w:val="27"/>
  </w:num>
  <w:num w:numId="25">
    <w:abstractNumId w:val="13"/>
  </w:num>
  <w:num w:numId="26">
    <w:abstractNumId w:val="6"/>
  </w:num>
  <w:num w:numId="27">
    <w:abstractNumId w:val="22"/>
  </w:num>
  <w:num w:numId="28">
    <w:abstractNumId w:val="24"/>
  </w:num>
  <w:num w:numId="29">
    <w:abstractNumId w:val="21"/>
  </w:num>
  <w:num w:numId="30">
    <w:abstractNumId w:val="14"/>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A9"/>
    <w:rsid w:val="00066D8B"/>
    <w:rsid w:val="00075060"/>
    <w:rsid w:val="00087725"/>
    <w:rsid w:val="000E49EC"/>
    <w:rsid w:val="000F6AE0"/>
    <w:rsid w:val="00110CA1"/>
    <w:rsid w:val="00120C60"/>
    <w:rsid w:val="0014134C"/>
    <w:rsid w:val="00160EB8"/>
    <w:rsid w:val="001E1F81"/>
    <w:rsid w:val="001F4575"/>
    <w:rsid w:val="002D1224"/>
    <w:rsid w:val="00392986"/>
    <w:rsid w:val="003C28A9"/>
    <w:rsid w:val="003D5849"/>
    <w:rsid w:val="003F1025"/>
    <w:rsid w:val="00422A59"/>
    <w:rsid w:val="00433DE1"/>
    <w:rsid w:val="004459F4"/>
    <w:rsid w:val="004579CE"/>
    <w:rsid w:val="00467F8D"/>
    <w:rsid w:val="004719A0"/>
    <w:rsid w:val="00495368"/>
    <w:rsid w:val="004B185C"/>
    <w:rsid w:val="004C3227"/>
    <w:rsid w:val="004D5C1D"/>
    <w:rsid w:val="004D658F"/>
    <w:rsid w:val="004E09A3"/>
    <w:rsid w:val="00532013"/>
    <w:rsid w:val="00567758"/>
    <w:rsid w:val="00593A96"/>
    <w:rsid w:val="005D2FC8"/>
    <w:rsid w:val="0060599B"/>
    <w:rsid w:val="006133E5"/>
    <w:rsid w:val="00616028"/>
    <w:rsid w:val="00652EC8"/>
    <w:rsid w:val="0066536A"/>
    <w:rsid w:val="00681F7D"/>
    <w:rsid w:val="00681F87"/>
    <w:rsid w:val="0069616F"/>
    <w:rsid w:val="006B2723"/>
    <w:rsid w:val="006F6254"/>
    <w:rsid w:val="007B07B0"/>
    <w:rsid w:val="007D4BB5"/>
    <w:rsid w:val="00816107"/>
    <w:rsid w:val="00827189"/>
    <w:rsid w:val="00894C30"/>
    <w:rsid w:val="008C29CF"/>
    <w:rsid w:val="008F3081"/>
    <w:rsid w:val="00946EFA"/>
    <w:rsid w:val="009B723C"/>
    <w:rsid w:val="009C31C0"/>
    <w:rsid w:val="009F1EFB"/>
    <w:rsid w:val="009F5EF4"/>
    <w:rsid w:val="00A10AC8"/>
    <w:rsid w:val="00A27D3E"/>
    <w:rsid w:val="00A375B9"/>
    <w:rsid w:val="00A50754"/>
    <w:rsid w:val="00A87B8A"/>
    <w:rsid w:val="00AC3316"/>
    <w:rsid w:val="00AE2ADB"/>
    <w:rsid w:val="00AF086A"/>
    <w:rsid w:val="00B43F91"/>
    <w:rsid w:val="00B92B1D"/>
    <w:rsid w:val="00BA4E2F"/>
    <w:rsid w:val="00BC5BE4"/>
    <w:rsid w:val="00C0431D"/>
    <w:rsid w:val="00C3211E"/>
    <w:rsid w:val="00C32A80"/>
    <w:rsid w:val="00C40CE2"/>
    <w:rsid w:val="00CA2BEA"/>
    <w:rsid w:val="00CD4AB7"/>
    <w:rsid w:val="00D33C21"/>
    <w:rsid w:val="00D43173"/>
    <w:rsid w:val="00D634A8"/>
    <w:rsid w:val="00DA2A81"/>
    <w:rsid w:val="00DC79B0"/>
    <w:rsid w:val="00DF0286"/>
    <w:rsid w:val="00DF2C05"/>
    <w:rsid w:val="00DF4EB7"/>
    <w:rsid w:val="00E82535"/>
    <w:rsid w:val="00E82586"/>
    <w:rsid w:val="00ED576D"/>
    <w:rsid w:val="00F12ADD"/>
    <w:rsid w:val="00F267D4"/>
    <w:rsid w:val="00F37EA9"/>
    <w:rsid w:val="00F412A9"/>
    <w:rsid w:val="00F43577"/>
    <w:rsid w:val="00F4710D"/>
    <w:rsid w:val="00F530AD"/>
    <w:rsid w:val="00F92C25"/>
    <w:rsid w:val="00F93EC6"/>
    <w:rsid w:val="00F97683"/>
    <w:rsid w:val="00FA40ED"/>
    <w:rsid w:val="00FA7F42"/>
    <w:rsid w:val="00FB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AE552"/>
  <w15:chartTrackingRefBased/>
  <w15:docId w15:val="{025703B9-E5DC-46A9-B562-239C160A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DB"/>
    <w:pPr>
      <w:ind w:left="720"/>
      <w:contextualSpacing/>
    </w:pPr>
  </w:style>
  <w:style w:type="character" w:styleId="Hyperlink">
    <w:name w:val="Hyperlink"/>
    <w:basedOn w:val="DefaultParagraphFont"/>
    <w:uiPriority w:val="99"/>
    <w:unhideWhenUsed/>
    <w:rsid w:val="00CA2BEA"/>
    <w:rPr>
      <w:color w:val="0563C1"/>
      <w:u w:val="single"/>
    </w:rPr>
  </w:style>
  <w:style w:type="paragraph" w:styleId="Header">
    <w:name w:val="header"/>
    <w:basedOn w:val="Normal"/>
    <w:link w:val="HeaderChar"/>
    <w:uiPriority w:val="99"/>
    <w:unhideWhenUsed/>
    <w:rsid w:val="002D1224"/>
    <w:pPr>
      <w:tabs>
        <w:tab w:val="center" w:pos="4680"/>
        <w:tab w:val="right" w:pos="9360"/>
      </w:tabs>
    </w:pPr>
  </w:style>
  <w:style w:type="character" w:customStyle="1" w:styleId="HeaderChar">
    <w:name w:val="Header Char"/>
    <w:basedOn w:val="DefaultParagraphFont"/>
    <w:link w:val="Header"/>
    <w:uiPriority w:val="99"/>
    <w:rsid w:val="002D122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D1224"/>
    <w:pPr>
      <w:tabs>
        <w:tab w:val="center" w:pos="4680"/>
        <w:tab w:val="right" w:pos="9360"/>
      </w:tabs>
    </w:pPr>
  </w:style>
  <w:style w:type="character" w:customStyle="1" w:styleId="FooterChar">
    <w:name w:val="Footer Char"/>
    <w:basedOn w:val="DefaultParagraphFont"/>
    <w:link w:val="Footer"/>
    <w:uiPriority w:val="99"/>
    <w:rsid w:val="002D122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F0286"/>
    <w:rPr>
      <w:color w:val="954F72" w:themeColor="followedHyperlink"/>
      <w:u w:val="single"/>
    </w:rPr>
  </w:style>
  <w:style w:type="character" w:styleId="CommentReference">
    <w:name w:val="annotation reference"/>
    <w:basedOn w:val="DefaultParagraphFont"/>
    <w:uiPriority w:val="99"/>
    <w:semiHidden/>
    <w:unhideWhenUsed/>
    <w:rsid w:val="00DF0286"/>
    <w:rPr>
      <w:sz w:val="16"/>
      <w:szCs w:val="16"/>
    </w:rPr>
  </w:style>
  <w:style w:type="paragraph" w:styleId="CommentText">
    <w:name w:val="annotation text"/>
    <w:basedOn w:val="Normal"/>
    <w:link w:val="CommentTextChar"/>
    <w:uiPriority w:val="99"/>
    <w:semiHidden/>
    <w:unhideWhenUsed/>
    <w:rsid w:val="00DF0286"/>
  </w:style>
  <w:style w:type="character" w:customStyle="1" w:styleId="CommentTextChar">
    <w:name w:val="Comment Text Char"/>
    <w:basedOn w:val="DefaultParagraphFont"/>
    <w:link w:val="CommentText"/>
    <w:uiPriority w:val="99"/>
    <w:semiHidden/>
    <w:rsid w:val="00DF02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286"/>
    <w:rPr>
      <w:b/>
      <w:bCs/>
    </w:rPr>
  </w:style>
  <w:style w:type="character" w:customStyle="1" w:styleId="CommentSubjectChar">
    <w:name w:val="Comment Subject Char"/>
    <w:basedOn w:val="CommentTextChar"/>
    <w:link w:val="CommentSubject"/>
    <w:uiPriority w:val="99"/>
    <w:semiHidden/>
    <w:rsid w:val="00DF02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0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286"/>
    <w:rPr>
      <w:rFonts w:ascii="Segoe UI" w:eastAsia="Times New Roman" w:hAnsi="Segoe UI" w:cs="Segoe UI"/>
      <w:sz w:val="18"/>
      <w:szCs w:val="18"/>
    </w:rPr>
  </w:style>
  <w:style w:type="table" w:styleId="TableGrid">
    <w:name w:val="Table Grid"/>
    <w:basedOn w:val="TableNormal"/>
    <w:uiPriority w:val="39"/>
    <w:rsid w:val="00DF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9998">
      <w:bodyDiv w:val="1"/>
      <w:marLeft w:val="0"/>
      <w:marRight w:val="0"/>
      <w:marTop w:val="0"/>
      <w:marBottom w:val="0"/>
      <w:divBdr>
        <w:top w:val="none" w:sz="0" w:space="0" w:color="auto"/>
        <w:left w:val="none" w:sz="0" w:space="0" w:color="auto"/>
        <w:bottom w:val="none" w:sz="0" w:space="0" w:color="auto"/>
        <w:right w:val="none" w:sz="0" w:space="0" w:color="auto"/>
      </w:divBdr>
    </w:div>
    <w:div w:id="528841048">
      <w:bodyDiv w:val="1"/>
      <w:marLeft w:val="0"/>
      <w:marRight w:val="0"/>
      <w:marTop w:val="0"/>
      <w:marBottom w:val="0"/>
      <w:divBdr>
        <w:top w:val="none" w:sz="0" w:space="0" w:color="auto"/>
        <w:left w:val="none" w:sz="0" w:space="0" w:color="auto"/>
        <w:bottom w:val="none" w:sz="0" w:space="0" w:color="auto"/>
        <w:right w:val="none" w:sz="0" w:space="0" w:color="auto"/>
      </w:divBdr>
    </w:div>
    <w:div w:id="555245603">
      <w:bodyDiv w:val="1"/>
      <w:marLeft w:val="0"/>
      <w:marRight w:val="0"/>
      <w:marTop w:val="0"/>
      <w:marBottom w:val="0"/>
      <w:divBdr>
        <w:top w:val="none" w:sz="0" w:space="0" w:color="auto"/>
        <w:left w:val="none" w:sz="0" w:space="0" w:color="auto"/>
        <w:bottom w:val="none" w:sz="0" w:space="0" w:color="auto"/>
        <w:right w:val="none" w:sz="0" w:space="0" w:color="auto"/>
      </w:divBdr>
    </w:div>
    <w:div w:id="647248016">
      <w:bodyDiv w:val="1"/>
      <w:marLeft w:val="0"/>
      <w:marRight w:val="0"/>
      <w:marTop w:val="0"/>
      <w:marBottom w:val="0"/>
      <w:divBdr>
        <w:top w:val="none" w:sz="0" w:space="0" w:color="auto"/>
        <w:left w:val="none" w:sz="0" w:space="0" w:color="auto"/>
        <w:bottom w:val="none" w:sz="0" w:space="0" w:color="auto"/>
        <w:right w:val="none" w:sz="0" w:space="0" w:color="auto"/>
      </w:divBdr>
    </w:div>
    <w:div w:id="653727329">
      <w:bodyDiv w:val="1"/>
      <w:marLeft w:val="0"/>
      <w:marRight w:val="0"/>
      <w:marTop w:val="0"/>
      <w:marBottom w:val="0"/>
      <w:divBdr>
        <w:top w:val="none" w:sz="0" w:space="0" w:color="auto"/>
        <w:left w:val="none" w:sz="0" w:space="0" w:color="auto"/>
        <w:bottom w:val="none" w:sz="0" w:space="0" w:color="auto"/>
        <w:right w:val="none" w:sz="0" w:space="0" w:color="auto"/>
      </w:divBdr>
      <w:divsChild>
        <w:div w:id="1270695921">
          <w:marLeft w:val="994"/>
          <w:marRight w:val="0"/>
          <w:marTop w:val="0"/>
          <w:marBottom w:val="0"/>
          <w:divBdr>
            <w:top w:val="none" w:sz="0" w:space="0" w:color="auto"/>
            <w:left w:val="none" w:sz="0" w:space="0" w:color="auto"/>
            <w:bottom w:val="none" w:sz="0" w:space="0" w:color="auto"/>
            <w:right w:val="none" w:sz="0" w:space="0" w:color="auto"/>
          </w:divBdr>
        </w:div>
        <w:div w:id="1015769203">
          <w:marLeft w:val="994"/>
          <w:marRight w:val="0"/>
          <w:marTop w:val="0"/>
          <w:marBottom w:val="0"/>
          <w:divBdr>
            <w:top w:val="none" w:sz="0" w:space="0" w:color="auto"/>
            <w:left w:val="none" w:sz="0" w:space="0" w:color="auto"/>
            <w:bottom w:val="none" w:sz="0" w:space="0" w:color="auto"/>
            <w:right w:val="none" w:sz="0" w:space="0" w:color="auto"/>
          </w:divBdr>
        </w:div>
        <w:div w:id="177895994">
          <w:marLeft w:val="994"/>
          <w:marRight w:val="0"/>
          <w:marTop w:val="0"/>
          <w:marBottom w:val="0"/>
          <w:divBdr>
            <w:top w:val="none" w:sz="0" w:space="0" w:color="auto"/>
            <w:left w:val="none" w:sz="0" w:space="0" w:color="auto"/>
            <w:bottom w:val="none" w:sz="0" w:space="0" w:color="auto"/>
            <w:right w:val="none" w:sz="0" w:space="0" w:color="auto"/>
          </w:divBdr>
        </w:div>
      </w:divsChild>
    </w:div>
    <w:div w:id="843865413">
      <w:bodyDiv w:val="1"/>
      <w:marLeft w:val="0"/>
      <w:marRight w:val="0"/>
      <w:marTop w:val="0"/>
      <w:marBottom w:val="0"/>
      <w:divBdr>
        <w:top w:val="none" w:sz="0" w:space="0" w:color="auto"/>
        <w:left w:val="none" w:sz="0" w:space="0" w:color="auto"/>
        <w:bottom w:val="none" w:sz="0" w:space="0" w:color="auto"/>
        <w:right w:val="none" w:sz="0" w:space="0" w:color="auto"/>
      </w:divBdr>
      <w:divsChild>
        <w:div w:id="47798996">
          <w:marLeft w:val="994"/>
          <w:marRight w:val="0"/>
          <w:marTop w:val="0"/>
          <w:marBottom w:val="0"/>
          <w:divBdr>
            <w:top w:val="none" w:sz="0" w:space="0" w:color="auto"/>
            <w:left w:val="none" w:sz="0" w:space="0" w:color="auto"/>
            <w:bottom w:val="none" w:sz="0" w:space="0" w:color="auto"/>
            <w:right w:val="none" w:sz="0" w:space="0" w:color="auto"/>
          </w:divBdr>
        </w:div>
        <w:div w:id="960455505">
          <w:marLeft w:val="994"/>
          <w:marRight w:val="0"/>
          <w:marTop w:val="0"/>
          <w:marBottom w:val="0"/>
          <w:divBdr>
            <w:top w:val="none" w:sz="0" w:space="0" w:color="auto"/>
            <w:left w:val="none" w:sz="0" w:space="0" w:color="auto"/>
            <w:bottom w:val="none" w:sz="0" w:space="0" w:color="auto"/>
            <w:right w:val="none" w:sz="0" w:space="0" w:color="auto"/>
          </w:divBdr>
        </w:div>
        <w:div w:id="1314795499">
          <w:marLeft w:val="821"/>
          <w:marRight w:val="0"/>
          <w:marTop w:val="0"/>
          <w:marBottom w:val="0"/>
          <w:divBdr>
            <w:top w:val="none" w:sz="0" w:space="0" w:color="auto"/>
            <w:left w:val="none" w:sz="0" w:space="0" w:color="auto"/>
            <w:bottom w:val="none" w:sz="0" w:space="0" w:color="auto"/>
            <w:right w:val="none" w:sz="0" w:space="0" w:color="auto"/>
          </w:divBdr>
        </w:div>
        <w:div w:id="534851225">
          <w:marLeft w:val="994"/>
          <w:marRight w:val="0"/>
          <w:marTop w:val="0"/>
          <w:marBottom w:val="0"/>
          <w:divBdr>
            <w:top w:val="none" w:sz="0" w:space="0" w:color="auto"/>
            <w:left w:val="none" w:sz="0" w:space="0" w:color="auto"/>
            <w:bottom w:val="none" w:sz="0" w:space="0" w:color="auto"/>
            <w:right w:val="none" w:sz="0" w:space="0" w:color="auto"/>
          </w:divBdr>
        </w:div>
      </w:divsChild>
    </w:div>
    <w:div w:id="1352142755">
      <w:bodyDiv w:val="1"/>
      <w:marLeft w:val="0"/>
      <w:marRight w:val="0"/>
      <w:marTop w:val="0"/>
      <w:marBottom w:val="0"/>
      <w:divBdr>
        <w:top w:val="none" w:sz="0" w:space="0" w:color="auto"/>
        <w:left w:val="none" w:sz="0" w:space="0" w:color="auto"/>
        <w:bottom w:val="none" w:sz="0" w:space="0" w:color="auto"/>
        <w:right w:val="none" w:sz="0" w:space="0" w:color="auto"/>
      </w:divBdr>
    </w:div>
    <w:div w:id="1735397506">
      <w:bodyDiv w:val="1"/>
      <w:marLeft w:val="0"/>
      <w:marRight w:val="0"/>
      <w:marTop w:val="0"/>
      <w:marBottom w:val="0"/>
      <w:divBdr>
        <w:top w:val="none" w:sz="0" w:space="0" w:color="auto"/>
        <w:left w:val="none" w:sz="0" w:space="0" w:color="auto"/>
        <w:bottom w:val="none" w:sz="0" w:space="0" w:color="auto"/>
        <w:right w:val="none" w:sz="0" w:space="0" w:color="auto"/>
      </w:divBdr>
    </w:div>
    <w:div w:id="1796026980">
      <w:bodyDiv w:val="1"/>
      <w:marLeft w:val="0"/>
      <w:marRight w:val="0"/>
      <w:marTop w:val="0"/>
      <w:marBottom w:val="0"/>
      <w:divBdr>
        <w:top w:val="none" w:sz="0" w:space="0" w:color="auto"/>
        <w:left w:val="none" w:sz="0" w:space="0" w:color="auto"/>
        <w:bottom w:val="none" w:sz="0" w:space="0" w:color="auto"/>
        <w:right w:val="none" w:sz="0" w:space="0" w:color="auto"/>
      </w:divBdr>
    </w:div>
    <w:div w:id="1808429742">
      <w:bodyDiv w:val="1"/>
      <w:marLeft w:val="0"/>
      <w:marRight w:val="0"/>
      <w:marTop w:val="0"/>
      <w:marBottom w:val="0"/>
      <w:divBdr>
        <w:top w:val="none" w:sz="0" w:space="0" w:color="auto"/>
        <w:left w:val="none" w:sz="0" w:space="0" w:color="auto"/>
        <w:bottom w:val="none" w:sz="0" w:space="0" w:color="auto"/>
        <w:right w:val="none" w:sz="0" w:space="0" w:color="auto"/>
      </w:divBdr>
    </w:div>
    <w:div w:id="1990160963">
      <w:bodyDiv w:val="1"/>
      <w:marLeft w:val="0"/>
      <w:marRight w:val="0"/>
      <w:marTop w:val="0"/>
      <w:marBottom w:val="0"/>
      <w:divBdr>
        <w:top w:val="none" w:sz="0" w:space="0" w:color="auto"/>
        <w:left w:val="none" w:sz="0" w:space="0" w:color="auto"/>
        <w:bottom w:val="none" w:sz="0" w:space="0" w:color="auto"/>
        <w:right w:val="none" w:sz="0" w:space="0" w:color="auto"/>
      </w:divBdr>
    </w:div>
    <w:div w:id="21102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DD-HCBS@la.gov" TargetMode="External"/><Relationship Id="rId13" Type="http://schemas.openxmlformats.org/officeDocument/2006/relationships/hyperlink" Target="https://ldh.la.gov/news/716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dh.la.gov/news/716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dh.la.gov/page/critical-incident-report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dh.la.gov/page/critical-incident-report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CDD-HCBS@la.gov" TargetMode="External"/><Relationship Id="rId14" Type="http://schemas.openxmlformats.org/officeDocument/2006/relationships/hyperlink" Target="https://ldh.la.gov/news/716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7FDD-C3DD-4D6C-93C8-D8C5A00D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Kennedy</dc:creator>
  <cp:keywords/>
  <dc:description/>
  <cp:lastModifiedBy>Sri Chalasani</cp:lastModifiedBy>
  <cp:revision>2</cp:revision>
  <dcterms:created xsi:type="dcterms:W3CDTF">2024-11-04T19:51:00Z</dcterms:created>
  <dcterms:modified xsi:type="dcterms:W3CDTF">2024-11-04T19:51:00Z</dcterms:modified>
</cp:coreProperties>
</file>