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8C4" w:rsidRPr="003C4317" w:rsidRDefault="005218C4" w:rsidP="005218C4">
      <w:pPr>
        <w:pStyle w:val="Heading1"/>
        <w:numPr>
          <w:ilvl w:val="0"/>
          <w:numId w:val="0"/>
        </w:numPr>
        <w:ind w:left="1008" w:hanging="1008"/>
        <w:rPr>
          <w:rFonts w:asciiTheme="minorHAnsi" w:hAnsiTheme="minorHAnsi" w:cstheme="minorHAnsi"/>
        </w:rPr>
      </w:pPr>
      <w:bookmarkStart w:id="0" w:name="_Toc87440581"/>
      <w:bookmarkStart w:id="1" w:name="_GoBack"/>
      <w:r w:rsidRPr="003C4317">
        <w:rPr>
          <w:rFonts w:asciiTheme="minorHAnsi" w:hAnsiTheme="minorHAnsi" w:cstheme="minorHAnsi"/>
        </w:rPr>
        <w:t>ATTACHMENT C: ELECTRONIC VENDOR PAYMENT SOLUTION</w:t>
      </w:r>
      <w:bookmarkEnd w:id="0"/>
    </w:p>
    <w:bookmarkEnd w:id="1"/>
    <w:p w:rsidR="005218C4" w:rsidRPr="003C4317" w:rsidRDefault="005218C4" w:rsidP="005218C4">
      <w:pPr>
        <w:spacing w:line="240" w:lineRule="auto"/>
        <w:jc w:val="both"/>
      </w:pPr>
      <w:r w:rsidRPr="003C4317">
        <w:t xml:space="preserve">In an effort to increase efficiencies and effectiveness as well as be strategic in utilizing technology and resources for the State and Proposer, the State intends to make all payments to Proposers electronically.  The </w:t>
      </w:r>
      <w:proofErr w:type="spellStart"/>
      <w:r w:rsidRPr="003C4317">
        <w:t>LaCarte</w:t>
      </w:r>
      <w:proofErr w:type="spellEnd"/>
      <w:r w:rsidRPr="003C4317">
        <w:t xml:space="preserve"> Procurement Card will be used for purchases of $5,000 and under, and where feasible, over $5,000. Proposers will have a choice of receiving electronic payment for all other payments by selecting the Electronic Funds Transfer (EFT). If you receive an award and do not currently accept the </w:t>
      </w:r>
      <w:proofErr w:type="spellStart"/>
      <w:r w:rsidRPr="003C4317">
        <w:t>LaCarte</w:t>
      </w:r>
      <w:proofErr w:type="spellEnd"/>
      <w:r w:rsidRPr="003C4317">
        <w:t xml:space="preserve"> card or have not already enrolled in EFT, you will be asked to comply with this request by choosing </w:t>
      </w:r>
      <w:r>
        <w:t>one of the following two options</w:t>
      </w:r>
      <w:r w:rsidRPr="003C4317">
        <w:t>. You may indicate your acceptance below.</w:t>
      </w:r>
    </w:p>
    <w:p w:rsidR="005218C4" w:rsidRPr="003C4317" w:rsidRDefault="005218C4" w:rsidP="005218C4">
      <w:pPr>
        <w:spacing w:line="240" w:lineRule="auto"/>
        <w:jc w:val="both"/>
      </w:pPr>
    </w:p>
    <w:p w:rsidR="005218C4" w:rsidRPr="003C4317" w:rsidRDefault="005218C4" w:rsidP="005218C4">
      <w:pPr>
        <w:spacing w:line="240" w:lineRule="auto"/>
        <w:jc w:val="both"/>
      </w:pPr>
      <w:r w:rsidRPr="003C4317">
        <w:t xml:space="preserve">The </w:t>
      </w:r>
      <w:proofErr w:type="spellStart"/>
      <w:r w:rsidRPr="003C4317">
        <w:rPr>
          <w:b/>
          <w:bCs/>
        </w:rPr>
        <w:t>LaCarte</w:t>
      </w:r>
      <w:proofErr w:type="spellEnd"/>
      <w:r w:rsidRPr="003C4317">
        <w:rPr>
          <w:b/>
          <w:bCs/>
        </w:rPr>
        <w:t xml:space="preserve"> </w:t>
      </w:r>
      <w:r w:rsidRPr="003C4317">
        <w:t>Procurement Card uses a Visa card platform. Proposers receive payment from state agencies using the card in the same manner as other Visa card purchases. Proposers cannot process payment transactions through the credit card clearinghouse until the purchased products have been shipped or received or the services performed.</w:t>
      </w:r>
    </w:p>
    <w:p w:rsidR="005218C4" w:rsidRPr="003C4317" w:rsidRDefault="005218C4" w:rsidP="005218C4">
      <w:pPr>
        <w:spacing w:line="240" w:lineRule="auto"/>
        <w:jc w:val="both"/>
      </w:pPr>
    </w:p>
    <w:p w:rsidR="005218C4" w:rsidRPr="003C4317" w:rsidRDefault="005218C4" w:rsidP="005218C4">
      <w:pPr>
        <w:spacing w:line="240" w:lineRule="auto"/>
        <w:jc w:val="both"/>
      </w:pPr>
      <w:r w:rsidRPr="003C4317">
        <w:t>For all statewide and agency term contracts:</w:t>
      </w:r>
    </w:p>
    <w:p w:rsidR="005218C4" w:rsidRPr="003C4317" w:rsidRDefault="005218C4" w:rsidP="005218C4">
      <w:pPr>
        <w:numPr>
          <w:ilvl w:val="0"/>
          <w:numId w:val="2"/>
        </w:numPr>
        <w:spacing w:line="240" w:lineRule="auto"/>
        <w:jc w:val="both"/>
      </w:pPr>
      <w:r w:rsidRPr="003C4317">
        <w:t xml:space="preserve">Under the </w:t>
      </w:r>
      <w:proofErr w:type="spellStart"/>
      <w:r w:rsidRPr="003C4317">
        <w:t>LaCarte</w:t>
      </w:r>
      <w:proofErr w:type="spellEnd"/>
      <w:r w:rsidRPr="003C4317">
        <w:t xml:space="preserve"> program, purchase orders are not necessary. Orders must be placed against the net discounted products of the contract. All contract terms and conditions apply to purchases made with </w:t>
      </w:r>
      <w:proofErr w:type="spellStart"/>
      <w:r w:rsidRPr="003C4317">
        <w:t>LaCarte</w:t>
      </w:r>
      <w:proofErr w:type="spellEnd"/>
      <w:r w:rsidRPr="003C4317">
        <w:t>.</w:t>
      </w:r>
    </w:p>
    <w:p w:rsidR="005218C4" w:rsidRPr="003C4317" w:rsidRDefault="005218C4" w:rsidP="005218C4">
      <w:pPr>
        <w:spacing w:line="240" w:lineRule="auto"/>
        <w:ind w:left="1440"/>
        <w:jc w:val="both"/>
      </w:pPr>
    </w:p>
    <w:p w:rsidR="005218C4" w:rsidRPr="003C4317" w:rsidRDefault="005218C4" w:rsidP="005218C4">
      <w:pPr>
        <w:numPr>
          <w:ilvl w:val="0"/>
          <w:numId w:val="2"/>
        </w:numPr>
        <w:spacing w:line="240" w:lineRule="auto"/>
        <w:jc w:val="both"/>
      </w:pPr>
      <w:r w:rsidRPr="003C4317">
        <w:t xml:space="preserve">If a purchase order is not used, the Proposer must keep on file a record of all </w:t>
      </w:r>
      <w:proofErr w:type="spellStart"/>
      <w:r w:rsidRPr="003C4317">
        <w:t>LaCarte</w:t>
      </w:r>
      <w:proofErr w:type="spellEnd"/>
      <w:r w:rsidRPr="003C4317">
        <w:t xml:space="preserve"> purchases issued against this contract during the contract period. The file must contain the particular item number, quantity, line total and order total. Records of these purchases must be provided to the Office of State Procurement on request.</w:t>
      </w:r>
    </w:p>
    <w:p w:rsidR="005218C4" w:rsidRPr="003C4317" w:rsidRDefault="005218C4" w:rsidP="005218C4">
      <w:pPr>
        <w:spacing w:line="240" w:lineRule="auto"/>
        <w:jc w:val="both"/>
        <w:rPr>
          <w:b/>
          <w:bCs/>
        </w:rPr>
      </w:pPr>
    </w:p>
    <w:p w:rsidR="005218C4" w:rsidRPr="003C4317" w:rsidRDefault="005218C4" w:rsidP="005218C4">
      <w:pPr>
        <w:spacing w:line="240" w:lineRule="auto"/>
        <w:jc w:val="both"/>
      </w:pPr>
      <w:r w:rsidRPr="003C4317">
        <w:rPr>
          <w:b/>
          <w:bCs/>
        </w:rPr>
        <w:t xml:space="preserve">EFT </w:t>
      </w:r>
      <w:r w:rsidRPr="003C4317">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Pr="001934B8">
        <w:rPr>
          <w:rFonts w:eastAsia="Times New Roman" w:cstheme="minorHAnsi"/>
          <w:color w:val="000000"/>
        </w:rPr>
        <w:t xml:space="preserve">by contacting the Office of Statewide Reporting &amp; Accounting Policy at </w:t>
      </w:r>
      <w:hyperlink r:id="rId7" w:history="1">
        <w:r w:rsidRPr="001934B8">
          <w:rPr>
            <w:rStyle w:val="Hyperlink"/>
            <w:rFonts w:eastAsia="Times New Roman" w:cstheme="minorHAnsi"/>
          </w:rPr>
          <w:t>DOA-OSRAP-EFT@la.gov</w:t>
        </w:r>
      </w:hyperlink>
      <w:r w:rsidRPr="001934B8">
        <w:rPr>
          <w:rFonts w:eastAsia="Times New Roman" w:cstheme="minorHAnsi"/>
          <w:color w:val="000000"/>
        </w:rPr>
        <w:t>.</w:t>
      </w:r>
    </w:p>
    <w:p w:rsidR="005218C4" w:rsidRPr="003C4317" w:rsidRDefault="005218C4" w:rsidP="005218C4">
      <w:pPr>
        <w:spacing w:line="240" w:lineRule="auto"/>
        <w:jc w:val="both"/>
      </w:pPr>
    </w:p>
    <w:p w:rsidR="005218C4" w:rsidRPr="003C4317" w:rsidRDefault="005218C4" w:rsidP="005218C4">
      <w:pPr>
        <w:spacing w:line="240" w:lineRule="auto"/>
        <w:jc w:val="both"/>
      </w:pPr>
      <w:r w:rsidRPr="003C4317">
        <w:t>To facilitate this payment process, you will need to complete and return the EFT enrollment form.</w:t>
      </w:r>
    </w:p>
    <w:p w:rsidR="005218C4" w:rsidRPr="003C4317" w:rsidRDefault="005218C4" w:rsidP="005218C4">
      <w:pPr>
        <w:spacing w:line="240" w:lineRule="auto"/>
        <w:jc w:val="both"/>
      </w:pPr>
    </w:p>
    <w:p w:rsidR="005218C4" w:rsidRPr="003C4317" w:rsidRDefault="005218C4" w:rsidP="005218C4">
      <w:pPr>
        <w:spacing w:line="240" w:lineRule="auto"/>
        <w:jc w:val="both"/>
      </w:pPr>
      <w:r w:rsidRPr="003C4317">
        <w:t>If an award is made to your company, please check which option you will accept or indicate if you are already enrolled.</w:t>
      </w:r>
    </w:p>
    <w:p w:rsidR="005218C4" w:rsidRPr="003C4317" w:rsidRDefault="005218C4" w:rsidP="005218C4">
      <w:pPr>
        <w:spacing w:line="240" w:lineRule="auto"/>
        <w:jc w:val="both"/>
      </w:pPr>
    </w:p>
    <w:p w:rsidR="005218C4" w:rsidRPr="003C4317" w:rsidRDefault="005218C4" w:rsidP="005218C4">
      <w:pPr>
        <w:spacing w:line="240" w:lineRule="auto"/>
        <w:jc w:val="both"/>
        <w:rPr>
          <w:u w:val="single"/>
        </w:rPr>
      </w:pPr>
      <w:r w:rsidRPr="003C4317">
        <w:rPr>
          <w:u w:val="single"/>
        </w:rPr>
        <w:t>Payment Type</w:t>
      </w:r>
      <w:r w:rsidRPr="003C4317">
        <w:tab/>
      </w:r>
      <w:r w:rsidRPr="003C4317">
        <w:tab/>
      </w:r>
      <w:r w:rsidRPr="003C4317">
        <w:rPr>
          <w:u w:val="single"/>
        </w:rPr>
        <w:t>Will Accept</w:t>
      </w:r>
      <w:r w:rsidRPr="003C4317">
        <w:tab/>
      </w:r>
      <w:r w:rsidRPr="003C4317">
        <w:rPr>
          <w:u w:val="single"/>
        </w:rPr>
        <w:t xml:space="preserve">Already Enrolled </w:t>
      </w:r>
    </w:p>
    <w:p w:rsidR="005218C4" w:rsidRPr="003C4317" w:rsidRDefault="005218C4" w:rsidP="005218C4">
      <w:pPr>
        <w:spacing w:line="240" w:lineRule="auto"/>
        <w:jc w:val="both"/>
        <w:rPr>
          <w:u w:val="single"/>
        </w:rPr>
      </w:pPr>
    </w:p>
    <w:p w:rsidR="005218C4" w:rsidRPr="003C4317" w:rsidRDefault="005218C4" w:rsidP="005218C4">
      <w:pPr>
        <w:spacing w:line="240" w:lineRule="auto"/>
        <w:jc w:val="both"/>
      </w:pPr>
      <w:proofErr w:type="spellStart"/>
      <w:r w:rsidRPr="003C4317">
        <w:t>LaCarte</w:t>
      </w:r>
      <w:proofErr w:type="spellEnd"/>
      <w:r w:rsidRPr="003C4317">
        <w:tab/>
      </w:r>
      <w:r w:rsidRPr="003C4317">
        <w:tab/>
      </w:r>
      <w:r w:rsidRPr="003C4317">
        <w:tab/>
        <w:t>______</w:t>
      </w:r>
      <w:r w:rsidRPr="003C4317">
        <w:tab/>
      </w:r>
      <w:r w:rsidRPr="003C4317">
        <w:tab/>
        <w:t xml:space="preserve">______   </w:t>
      </w:r>
    </w:p>
    <w:p w:rsidR="005218C4" w:rsidRPr="003C4317" w:rsidRDefault="005218C4" w:rsidP="005218C4">
      <w:pPr>
        <w:spacing w:line="240" w:lineRule="auto"/>
        <w:jc w:val="both"/>
      </w:pPr>
    </w:p>
    <w:p w:rsidR="005218C4" w:rsidRPr="003C4317" w:rsidRDefault="005218C4" w:rsidP="005218C4">
      <w:pPr>
        <w:spacing w:line="240" w:lineRule="auto"/>
        <w:jc w:val="both"/>
      </w:pPr>
      <w:r w:rsidRPr="003C4317">
        <w:t xml:space="preserve">EFT </w:t>
      </w:r>
      <w:r w:rsidRPr="003C4317">
        <w:tab/>
        <w:t xml:space="preserve"> </w:t>
      </w:r>
      <w:r w:rsidRPr="003C4317">
        <w:tab/>
        <w:t xml:space="preserve">        </w:t>
      </w:r>
      <w:r w:rsidRPr="003C4317">
        <w:tab/>
        <w:t>______</w:t>
      </w:r>
      <w:r w:rsidRPr="003C4317">
        <w:tab/>
      </w:r>
      <w:r w:rsidRPr="003C4317">
        <w:tab/>
        <w:t xml:space="preserve">______   </w:t>
      </w:r>
    </w:p>
    <w:p w:rsidR="005218C4" w:rsidRPr="003C4317" w:rsidRDefault="005218C4" w:rsidP="005218C4">
      <w:pPr>
        <w:spacing w:line="240" w:lineRule="auto"/>
        <w:jc w:val="both"/>
      </w:pPr>
    </w:p>
    <w:p w:rsidR="005218C4" w:rsidRPr="003C4317" w:rsidRDefault="005218C4" w:rsidP="005218C4">
      <w:pPr>
        <w:spacing w:line="240" w:lineRule="auto"/>
        <w:jc w:val="both"/>
      </w:pPr>
      <w:r w:rsidRPr="003C4317">
        <w:t>_________________________________________</w:t>
      </w:r>
    </w:p>
    <w:p w:rsidR="005218C4" w:rsidRPr="003C4317" w:rsidRDefault="005218C4" w:rsidP="005218C4">
      <w:pPr>
        <w:spacing w:line="240" w:lineRule="auto"/>
        <w:jc w:val="both"/>
      </w:pPr>
      <w:r w:rsidRPr="003C4317">
        <w:t>Printed Name of Individual Authorized</w:t>
      </w:r>
    </w:p>
    <w:p w:rsidR="005218C4" w:rsidRPr="003C4317" w:rsidRDefault="005218C4" w:rsidP="005218C4">
      <w:pPr>
        <w:spacing w:line="240" w:lineRule="auto"/>
        <w:jc w:val="both"/>
      </w:pPr>
    </w:p>
    <w:p w:rsidR="005218C4" w:rsidRPr="003C4317" w:rsidRDefault="005218C4" w:rsidP="005218C4">
      <w:pPr>
        <w:spacing w:line="240" w:lineRule="auto"/>
        <w:jc w:val="both"/>
      </w:pPr>
      <w:r w:rsidRPr="003C4317">
        <w:t xml:space="preserve">_________________________________________              </w:t>
      </w:r>
      <w:r w:rsidRPr="003C4317">
        <w:tab/>
        <w:t xml:space="preserve"> _____________</w:t>
      </w:r>
    </w:p>
    <w:p w:rsidR="005218C4" w:rsidRPr="003C4317" w:rsidRDefault="005218C4" w:rsidP="005218C4">
      <w:pPr>
        <w:spacing w:line="240" w:lineRule="auto"/>
        <w:jc w:val="both"/>
      </w:pPr>
      <w:r w:rsidRPr="003C4317">
        <w:t xml:space="preserve">Authorized Signature for payment type chosen                             </w:t>
      </w:r>
      <w:r w:rsidRPr="003C4317">
        <w:tab/>
        <w:t xml:space="preserve"> Date</w:t>
      </w:r>
    </w:p>
    <w:p w:rsidR="005218C4" w:rsidRPr="003C4317" w:rsidRDefault="005218C4" w:rsidP="005218C4">
      <w:pPr>
        <w:spacing w:line="240" w:lineRule="auto"/>
        <w:jc w:val="both"/>
      </w:pPr>
    </w:p>
    <w:p w:rsidR="005218C4" w:rsidRPr="003C4317" w:rsidRDefault="005218C4" w:rsidP="005218C4">
      <w:pPr>
        <w:spacing w:line="240" w:lineRule="auto"/>
        <w:jc w:val="both"/>
      </w:pPr>
      <w:r w:rsidRPr="003C4317">
        <w:t>______________________________________________</w:t>
      </w:r>
    </w:p>
    <w:p w:rsidR="005218C4" w:rsidRPr="003C4317" w:rsidRDefault="005218C4" w:rsidP="005218C4">
      <w:pPr>
        <w:spacing w:line="240" w:lineRule="auto"/>
        <w:jc w:val="both"/>
      </w:pPr>
      <w:r w:rsidRPr="003C4317">
        <w:t>Email address and phone number of authorized individual</w:t>
      </w:r>
    </w:p>
    <w:p w:rsidR="00456989" w:rsidRDefault="005218C4"/>
    <w:sectPr w:rsidR="004569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8C4" w:rsidRDefault="005218C4" w:rsidP="005218C4">
      <w:pPr>
        <w:spacing w:line="240" w:lineRule="auto"/>
      </w:pPr>
      <w:r>
        <w:separator/>
      </w:r>
    </w:p>
  </w:endnote>
  <w:endnote w:type="continuationSeparator" w:id="0">
    <w:p w:rsidR="005218C4" w:rsidRDefault="005218C4" w:rsidP="00521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8C4" w:rsidRDefault="005218C4" w:rsidP="005218C4">
      <w:pPr>
        <w:spacing w:line="240" w:lineRule="auto"/>
      </w:pPr>
      <w:r>
        <w:separator/>
      </w:r>
    </w:p>
  </w:footnote>
  <w:footnote w:type="continuationSeparator" w:id="0">
    <w:p w:rsidR="005218C4" w:rsidRDefault="005218C4" w:rsidP="005218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F6273"/>
    <w:multiLevelType w:val="hybridMultilevel"/>
    <w:tmpl w:val="A0FC65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5CC1BCF"/>
    <w:multiLevelType w:val="multilevel"/>
    <w:tmpl w:val="B30C7B66"/>
    <w:numStyleLink w:val="MultilevelHeading4"/>
  </w:abstractNum>
  <w:abstractNum w:abstractNumId="2" w15:restartNumberingAfterBreak="0">
    <w:nsid w:val="5CB00F3B"/>
    <w:multiLevelType w:val="multilevel"/>
    <w:tmpl w:val="B30C7B66"/>
    <w:styleLink w:val="MultilevelHeading4"/>
    <w:lvl w:ilvl="0">
      <w:start w:val="1"/>
      <w:numFmt w:val="decimal"/>
      <w:pStyle w:val="Heading1"/>
      <w:lvlText w:val="PART %1:"/>
      <w:lvlJc w:val="left"/>
      <w:pPr>
        <w:ind w:left="1440" w:hanging="1440"/>
      </w:pPr>
      <w:rPr>
        <w:rFonts w:asciiTheme="minorHAnsi" w:hAnsiTheme="minorHAnsi" w:cstheme="minorHAnsi" w:hint="default"/>
        <w:b/>
        <w:i w:val="0"/>
        <w:sz w:val="28"/>
      </w:rPr>
    </w:lvl>
    <w:lvl w:ilvl="1">
      <w:start w:val="1"/>
      <w:numFmt w:val="decimal"/>
      <w:pStyle w:val="Heading2"/>
      <w:lvlText w:val="%1.%2"/>
      <w:lvlJc w:val="left"/>
      <w:pPr>
        <w:tabs>
          <w:tab w:val="num" w:pos="1872"/>
        </w:tabs>
        <w:ind w:left="720" w:hanging="720"/>
      </w:pPr>
      <w:rPr>
        <w:rFonts w:asciiTheme="minorHAnsi" w:hAnsi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808"/>
        </w:tabs>
        <w:ind w:left="2376" w:hanging="792"/>
      </w:pPr>
      <w:rPr>
        <w:rFonts w:asciiTheme="minorHAnsi" w:hAnsiTheme="minorHAnsi" w:hint="default"/>
        <w:b/>
        <w:i w:val="0"/>
        <w:sz w:val="22"/>
      </w:rPr>
    </w:lvl>
    <w:lvl w:ilvl="3">
      <w:start w:val="1"/>
      <w:numFmt w:val="decimal"/>
      <w:pStyle w:val="Heading4"/>
      <w:lvlText w:val="%1.%2.%3.%4"/>
      <w:lvlJc w:val="left"/>
      <w:pPr>
        <w:tabs>
          <w:tab w:val="num" w:pos="1980"/>
        </w:tabs>
        <w:ind w:left="1908" w:firstLine="72"/>
      </w:pPr>
      <w:rPr>
        <w:rFonts w:asciiTheme="minorHAnsi" w:hAnsiTheme="minorHAnsi" w:cstheme="minorHAnsi" w:hint="default"/>
        <w:b/>
      </w:rPr>
    </w:lvl>
    <w:lvl w:ilvl="4">
      <w:start w:val="1"/>
      <w:numFmt w:val="decimal"/>
      <w:pStyle w:val="Heading5"/>
      <w:lvlText w:val="%1.%2.%3.%4.%5"/>
      <w:lvlJc w:val="left"/>
      <w:pPr>
        <w:tabs>
          <w:tab w:val="num" w:pos="2736"/>
        </w:tabs>
        <w:ind w:left="3298" w:hanging="562"/>
      </w:pPr>
      <w:rPr>
        <w:rFonts w:asciiTheme="minorHAnsi" w:hAnsiTheme="minorHAnsi" w:hint="default"/>
        <w:b/>
        <w:i w:val="0"/>
        <w:sz w:val="22"/>
        <w:szCs w:val="22"/>
        <w:u w:val="none"/>
      </w:rPr>
    </w:lvl>
    <w:lvl w:ilvl="5">
      <w:start w:val="1"/>
      <w:numFmt w:val="decimal"/>
      <w:pStyle w:val="Heading6"/>
      <w:lvlText w:val="%1.%2.%3.%4.%5.%6"/>
      <w:lvlJc w:val="left"/>
      <w:pPr>
        <w:tabs>
          <w:tab w:val="num" w:pos="3456"/>
        </w:tabs>
        <w:ind w:left="4032" w:hanging="1080"/>
      </w:pPr>
      <w:rPr>
        <w:rFonts w:asciiTheme="minorHAnsi" w:hAnsiTheme="minorHAnsi" w:hint="default"/>
        <w:b/>
        <w:i w:val="0"/>
        <w:sz w:val="22"/>
        <w:szCs w:val="22"/>
      </w:rPr>
    </w:lvl>
    <w:lvl w:ilvl="6">
      <w:start w:val="1"/>
      <w:numFmt w:val="decimal"/>
      <w:lvlRestart w:val="0"/>
      <w:lvlText w:val="%5.%6.%7"/>
      <w:lvlJc w:val="left"/>
      <w:pPr>
        <w:tabs>
          <w:tab w:val="num" w:pos="2592"/>
        </w:tabs>
        <w:ind w:left="2592" w:hanging="1296"/>
      </w:pPr>
      <w:rPr>
        <w:rFonts w:ascii="Times New Roman" w:hAnsi="Times New Roman" w:hint="default"/>
        <w:b/>
        <w:i w:val="0"/>
        <w:sz w:val="24"/>
      </w:rPr>
    </w:lvl>
    <w:lvl w:ilvl="7">
      <w:start w:val="1"/>
      <w:numFmt w:val="decimal"/>
      <w:pStyle w:val="Heading8"/>
      <w:lvlText w:val="%1.%2.%3.%4.%5.%6.%7.%8"/>
      <w:lvlJc w:val="left"/>
      <w:pPr>
        <w:tabs>
          <w:tab w:val="num" w:pos="2736"/>
        </w:tabs>
        <w:ind w:left="2736" w:hanging="1440"/>
      </w:pPr>
      <w:rPr>
        <w:rFonts w:hint="default"/>
      </w:rPr>
    </w:lvl>
    <w:lvl w:ilvl="8">
      <w:start w:val="1"/>
      <w:numFmt w:val="decimal"/>
      <w:pStyle w:val="Heading9"/>
      <w:lvlText w:val="%1.%2.%3.%4.%5.%6.%7.%8.%9"/>
      <w:lvlJc w:val="left"/>
      <w:pPr>
        <w:tabs>
          <w:tab w:val="num" w:pos="2880"/>
        </w:tabs>
        <w:ind w:left="2880"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C4"/>
    <w:rsid w:val="000D1634"/>
    <w:rsid w:val="005218C4"/>
    <w:rsid w:val="00F6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1EC5E-FA8A-4366-9A4A-E30DE95C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8C4"/>
    <w:pPr>
      <w:spacing w:after="0"/>
    </w:pPr>
  </w:style>
  <w:style w:type="paragraph" w:styleId="Heading1">
    <w:name w:val="heading 1"/>
    <w:basedOn w:val="Normal"/>
    <w:next w:val="Normal"/>
    <w:link w:val="Heading1Char"/>
    <w:qFormat/>
    <w:rsid w:val="005218C4"/>
    <w:pPr>
      <w:keepNext/>
      <w:keepLines/>
      <w:numPr>
        <w:numId w:val="3"/>
      </w:numPr>
      <w:spacing w:after="240"/>
      <w:outlineLvl w:val="0"/>
    </w:pPr>
    <w:rPr>
      <w:rFonts w:asciiTheme="majorHAnsi" w:eastAsiaTheme="majorEastAsia" w:hAnsiTheme="majorHAnsi" w:cstheme="majorBidi"/>
      <w:b/>
      <w:sz w:val="28"/>
      <w:szCs w:val="32"/>
    </w:rPr>
  </w:style>
  <w:style w:type="paragraph" w:styleId="Heading2">
    <w:name w:val="heading 2"/>
    <w:aliases w:val="Level 2 Heading"/>
    <w:basedOn w:val="Normal"/>
    <w:next w:val="Normal"/>
    <w:link w:val="Heading2Char"/>
    <w:unhideWhenUsed/>
    <w:qFormat/>
    <w:rsid w:val="005218C4"/>
    <w:pPr>
      <w:keepNext/>
      <w:keepLines/>
      <w:numPr>
        <w:ilvl w:val="1"/>
        <w:numId w:val="3"/>
      </w:numPr>
      <w:spacing w:after="240" w:line="240" w:lineRule="auto"/>
      <w:outlineLvl w:val="1"/>
    </w:pPr>
    <w:rPr>
      <w:rFonts w:eastAsiaTheme="majorEastAsia" w:cstheme="majorBidi"/>
      <w:b/>
      <w:sz w:val="24"/>
      <w:szCs w:val="26"/>
    </w:rPr>
  </w:style>
  <w:style w:type="paragraph" w:styleId="Heading3">
    <w:name w:val="heading 3"/>
    <w:basedOn w:val="Normal"/>
    <w:next w:val="Normal"/>
    <w:link w:val="Heading3Char"/>
    <w:unhideWhenUsed/>
    <w:qFormat/>
    <w:rsid w:val="005218C4"/>
    <w:pPr>
      <w:numPr>
        <w:ilvl w:val="2"/>
        <w:numId w:val="3"/>
      </w:numPr>
      <w:tabs>
        <w:tab w:val="clear" w:pos="2808"/>
        <w:tab w:val="num" w:pos="1260"/>
      </w:tabs>
      <w:spacing w:after="240"/>
      <w:ind w:left="1260" w:hanging="900"/>
      <w:jc w:val="both"/>
      <w:outlineLvl w:val="2"/>
    </w:pPr>
    <w:rPr>
      <w:rFonts w:eastAsiaTheme="majorEastAsia" w:cstheme="minorHAnsi"/>
    </w:rPr>
  </w:style>
  <w:style w:type="paragraph" w:styleId="Heading4">
    <w:name w:val="heading 4"/>
    <w:basedOn w:val="Normal"/>
    <w:next w:val="Normal"/>
    <w:link w:val="Heading4Char"/>
    <w:unhideWhenUsed/>
    <w:qFormat/>
    <w:rsid w:val="005218C4"/>
    <w:pPr>
      <w:numPr>
        <w:ilvl w:val="3"/>
        <w:numId w:val="3"/>
      </w:numPr>
      <w:tabs>
        <w:tab w:val="clear" w:pos="1980"/>
        <w:tab w:val="num" w:pos="1800"/>
      </w:tabs>
      <w:spacing w:after="240"/>
      <w:ind w:left="1800" w:hanging="1080"/>
      <w:jc w:val="both"/>
      <w:outlineLvl w:val="3"/>
    </w:pPr>
    <w:rPr>
      <w:rFonts w:eastAsiaTheme="majorEastAsia" w:cstheme="minorHAnsi"/>
      <w:iCs/>
    </w:rPr>
  </w:style>
  <w:style w:type="paragraph" w:styleId="Heading5">
    <w:name w:val="heading 5"/>
    <w:basedOn w:val="Normal"/>
    <w:next w:val="Normal"/>
    <w:link w:val="Heading5Char"/>
    <w:autoRedefine/>
    <w:unhideWhenUsed/>
    <w:qFormat/>
    <w:rsid w:val="005218C4"/>
    <w:pPr>
      <w:numPr>
        <w:ilvl w:val="4"/>
        <w:numId w:val="3"/>
      </w:numPr>
      <w:tabs>
        <w:tab w:val="clear" w:pos="2736"/>
        <w:tab w:val="num" w:pos="2340"/>
      </w:tabs>
      <w:spacing w:after="240" w:line="240" w:lineRule="auto"/>
      <w:ind w:left="2340" w:hanging="1260"/>
      <w:jc w:val="both"/>
      <w:outlineLvl w:val="4"/>
    </w:pPr>
    <w:rPr>
      <w:rFonts w:ascii="Calibri" w:eastAsia="Calibri" w:hAnsi="Calibri" w:cs="Calibri"/>
    </w:rPr>
  </w:style>
  <w:style w:type="paragraph" w:styleId="Heading6">
    <w:name w:val="heading 6"/>
    <w:basedOn w:val="Heading5"/>
    <w:next w:val="Normal"/>
    <w:link w:val="Heading6Char"/>
    <w:unhideWhenUsed/>
    <w:qFormat/>
    <w:rsid w:val="005218C4"/>
    <w:pPr>
      <w:numPr>
        <w:ilvl w:val="5"/>
      </w:numPr>
      <w:tabs>
        <w:tab w:val="clear" w:pos="3456"/>
        <w:tab w:val="num" w:pos="2880"/>
      </w:tabs>
      <w:ind w:left="2880" w:hanging="1440"/>
      <w:outlineLvl w:val="5"/>
    </w:pPr>
  </w:style>
  <w:style w:type="paragraph" w:styleId="Heading8">
    <w:name w:val="heading 8"/>
    <w:basedOn w:val="Normal"/>
    <w:next w:val="Normal"/>
    <w:link w:val="Heading8Char"/>
    <w:unhideWhenUsed/>
    <w:qFormat/>
    <w:rsid w:val="005218C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5218C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18C4"/>
    <w:rPr>
      <w:rFonts w:asciiTheme="majorHAnsi" w:eastAsiaTheme="majorEastAsia" w:hAnsiTheme="majorHAnsi" w:cstheme="majorBidi"/>
      <w:b/>
      <w:sz w:val="28"/>
      <w:szCs w:val="32"/>
    </w:rPr>
  </w:style>
  <w:style w:type="character" w:customStyle="1" w:styleId="Heading2Char">
    <w:name w:val="Heading 2 Char"/>
    <w:basedOn w:val="DefaultParagraphFont"/>
    <w:link w:val="Heading2"/>
    <w:rsid w:val="005218C4"/>
    <w:rPr>
      <w:rFonts w:eastAsiaTheme="majorEastAsia" w:cstheme="majorBidi"/>
      <w:b/>
      <w:sz w:val="24"/>
      <w:szCs w:val="26"/>
    </w:rPr>
  </w:style>
  <w:style w:type="character" w:customStyle="1" w:styleId="Heading3Char">
    <w:name w:val="Heading 3 Char"/>
    <w:basedOn w:val="DefaultParagraphFont"/>
    <w:link w:val="Heading3"/>
    <w:rsid w:val="005218C4"/>
    <w:rPr>
      <w:rFonts w:eastAsiaTheme="majorEastAsia" w:cstheme="minorHAnsi"/>
    </w:rPr>
  </w:style>
  <w:style w:type="character" w:customStyle="1" w:styleId="Heading4Char">
    <w:name w:val="Heading 4 Char"/>
    <w:basedOn w:val="DefaultParagraphFont"/>
    <w:link w:val="Heading4"/>
    <w:rsid w:val="005218C4"/>
    <w:rPr>
      <w:rFonts w:eastAsiaTheme="majorEastAsia" w:cstheme="minorHAnsi"/>
      <w:iCs/>
    </w:rPr>
  </w:style>
  <w:style w:type="character" w:customStyle="1" w:styleId="Heading5Char">
    <w:name w:val="Heading 5 Char"/>
    <w:basedOn w:val="DefaultParagraphFont"/>
    <w:link w:val="Heading5"/>
    <w:rsid w:val="005218C4"/>
    <w:rPr>
      <w:rFonts w:ascii="Calibri" w:eastAsia="Calibri" w:hAnsi="Calibri" w:cs="Calibri"/>
    </w:rPr>
  </w:style>
  <w:style w:type="character" w:customStyle="1" w:styleId="Heading6Char">
    <w:name w:val="Heading 6 Char"/>
    <w:basedOn w:val="DefaultParagraphFont"/>
    <w:link w:val="Heading6"/>
    <w:rsid w:val="005218C4"/>
    <w:rPr>
      <w:rFonts w:ascii="Calibri" w:eastAsia="Calibri" w:hAnsi="Calibri" w:cs="Calibri"/>
    </w:rPr>
  </w:style>
  <w:style w:type="character" w:customStyle="1" w:styleId="Heading8Char">
    <w:name w:val="Heading 8 Char"/>
    <w:basedOn w:val="DefaultParagraphFont"/>
    <w:link w:val="Heading8"/>
    <w:rsid w:val="005218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218C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218C4"/>
    <w:rPr>
      <w:color w:val="0563C1" w:themeColor="hyperlink"/>
      <w:u w:val="single"/>
    </w:rPr>
  </w:style>
  <w:style w:type="numbering" w:customStyle="1" w:styleId="MultilevelHeading4">
    <w:name w:val="Multilevel Heading4"/>
    <w:uiPriority w:val="99"/>
    <w:rsid w:val="005218C4"/>
    <w:pPr>
      <w:numPr>
        <w:numId w:val="1"/>
      </w:numPr>
    </w:pPr>
  </w:style>
  <w:style w:type="paragraph" w:styleId="Header">
    <w:name w:val="header"/>
    <w:basedOn w:val="Normal"/>
    <w:link w:val="HeaderChar"/>
    <w:uiPriority w:val="99"/>
    <w:unhideWhenUsed/>
    <w:rsid w:val="005218C4"/>
    <w:pPr>
      <w:tabs>
        <w:tab w:val="center" w:pos="4680"/>
        <w:tab w:val="right" w:pos="9360"/>
      </w:tabs>
      <w:spacing w:line="240" w:lineRule="auto"/>
    </w:pPr>
  </w:style>
  <w:style w:type="character" w:customStyle="1" w:styleId="HeaderChar">
    <w:name w:val="Header Char"/>
    <w:basedOn w:val="DefaultParagraphFont"/>
    <w:link w:val="Header"/>
    <w:uiPriority w:val="99"/>
    <w:rsid w:val="005218C4"/>
  </w:style>
  <w:style w:type="paragraph" w:styleId="Footer">
    <w:name w:val="footer"/>
    <w:basedOn w:val="Normal"/>
    <w:link w:val="FooterChar"/>
    <w:uiPriority w:val="99"/>
    <w:unhideWhenUsed/>
    <w:rsid w:val="005218C4"/>
    <w:pPr>
      <w:tabs>
        <w:tab w:val="center" w:pos="4680"/>
        <w:tab w:val="right" w:pos="9360"/>
      </w:tabs>
      <w:spacing w:line="240" w:lineRule="auto"/>
    </w:pPr>
  </w:style>
  <w:style w:type="character" w:customStyle="1" w:styleId="FooterChar">
    <w:name w:val="Footer Char"/>
    <w:basedOn w:val="DefaultParagraphFont"/>
    <w:link w:val="Footer"/>
    <w:uiPriority w:val="99"/>
    <w:rsid w:val="0052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DOA-OSRAP-EFT@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Bravo</dc:creator>
  <cp:keywords/>
  <dc:description/>
  <cp:lastModifiedBy>Teresa Bravo</cp:lastModifiedBy>
  <cp:revision>1</cp:revision>
  <dcterms:created xsi:type="dcterms:W3CDTF">2021-11-10T21:45:00Z</dcterms:created>
  <dcterms:modified xsi:type="dcterms:W3CDTF">2021-11-10T21:46:00Z</dcterms:modified>
</cp:coreProperties>
</file>