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  <w:bookmarkStart w:id="0" w:name="_GoBack"/>
      <w:bookmarkEnd w:id="0"/>
    </w:p>
    <w:p w:rsidR="00F05DBF" w:rsidRDefault="00F30E84" w:rsidP="00F91A93">
      <w:pPr>
        <w:pStyle w:val="Heading1"/>
        <w:spacing w:before="90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F05DBF" w:rsidRDefault="00BF6BE2" w:rsidP="00F30E84">
      <w:pPr>
        <w:ind w:left="2160" w:firstLine="140"/>
        <w:rPr>
          <w:sz w:val="20"/>
        </w:rPr>
      </w:pPr>
      <w:r>
        <w:rPr>
          <w:b/>
          <w:sz w:val="24"/>
        </w:rPr>
        <w:t>CHOW</w:t>
      </w:r>
      <w:r w:rsidR="00F30E84">
        <w:rPr>
          <w:b/>
          <w:sz w:val="24"/>
        </w:rPr>
        <w:t xml:space="preserve"> Licensing Checklist for Behavioral Health Service Provider (BHSP</w:t>
      </w:r>
      <w:r w:rsidR="00F30E84">
        <w:rPr>
          <w:sz w:val="20"/>
        </w:rPr>
        <w:t>)</w:t>
      </w:r>
    </w:p>
    <w:p w:rsidR="00F91A93" w:rsidRDefault="00F91A93" w:rsidP="00F30E84">
      <w:pPr>
        <w:ind w:left="2160" w:firstLine="140"/>
        <w:rPr>
          <w:sz w:val="20"/>
        </w:rPr>
      </w:pPr>
      <w:r>
        <w:rPr>
          <w:b/>
          <w:sz w:val="24"/>
        </w:rPr>
        <w:t xml:space="preserve">Name of provider: </w:t>
      </w:r>
    </w:p>
    <w:p w:rsidR="00F05DBF" w:rsidRDefault="00BF6BE2">
      <w:pPr>
        <w:pStyle w:val="Heading2"/>
        <w:spacing w:before="231"/>
        <w:ind w:left="2300"/>
      </w:pPr>
      <w:r>
        <w:t>CHOW</w:t>
      </w:r>
      <w:r w:rsidR="00F30E84">
        <w:t xml:space="preserve"> LICENSING </w:t>
      </w:r>
      <w:r w:rsidR="00F91A93">
        <w:t xml:space="preserve">APPLICATION </w:t>
      </w:r>
      <w:r w:rsidR="00F30E84">
        <w:t>REQUIREMENTS</w:t>
      </w:r>
    </w:p>
    <w:p w:rsidR="00F05DBF" w:rsidRDefault="00F05DBF">
      <w:pPr>
        <w:rPr>
          <w:b/>
          <w:i/>
          <w:sz w:val="8"/>
        </w:rPr>
      </w:pPr>
    </w:p>
    <w:tbl>
      <w:tblPr>
        <w:tblW w:w="1084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9"/>
        <w:gridCol w:w="540"/>
        <w:gridCol w:w="540"/>
        <w:gridCol w:w="630"/>
      </w:tblGrid>
      <w:tr w:rsidR="0003273B" w:rsidTr="00A51413">
        <w:trPr>
          <w:trHeight w:val="263"/>
        </w:trPr>
        <w:tc>
          <w:tcPr>
            <w:tcW w:w="9139" w:type="dxa"/>
          </w:tcPr>
          <w:p w:rsidR="0003273B" w:rsidRPr="007B201B" w:rsidRDefault="00B04AB7" w:rsidP="0003273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B04AB7">
              <w:rPr>
                <w:sz w:val="24"/>
                <w:szCs w:val="24"/>
              </w:rPr>
              <w:t>ALL CHOWS SHOULD BE SUBMITTED BEFORE RENEWAL PERIOD</w:t>
            </w: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03273B" w:rsidRPr="00BE64CC" w:rsidRDefault="0003273B" w:rsidP="0003273B">
            <w:pPr>
              <w:pStyle w:val="TableParagraph"/>
              <w:spacing w:line="225" w:lineRule="exact"/>
              <w:rPr>
                <w:b/>
                <w:i/>
                <w:sz w:val="24"/>
                <w:szCs w:val="24"/>
              </w:rPr>
            </w:pPr>
            <w:r w:rsidRPr="00BE64CC">
              <w:rPr>
                <w:b/>
                <w:i/>
                <w:sz w:val="24"/>
                <w:szCs w:val="24"/>
              </w:rPr>
              <w:t xml:space="preserve">Step 1 </w:t>
            </w:r>
            <w:r w:rsidR="00145227" w:rsidRPr="00BE64CC">
              <w:rPr>
                <w:b/>
                <w:i/>
                <w:sz w:val="24"/>
                <w:szCs w:val="24"/>
              </w:rPr>
              <w:t xml:space="preserve">- </w:t>
            </w:r>
            <w:r w:rsidRPr="00BE64CC">
              <w:rPr>
                <w:b/>
                <w:i/>
                <w:sz w:val="24"/>
                <w:szCs w:val="24"/>
              </w:rPr>
              <w:t>LDH Legal Determination</w:t>
            </w:r>
            <w:r w:rsidR="00145227" w:rsidRPr="00BE64CC">
              <w:rPr>
                <w:b/>
                <w:i/>
                <w:sz w:val="24"/>
                <w:szCs w:val="24"/>
              </w:rPr>
              <w:t xml:space="preserve"> Criteria (Each step must be followed and the required documents must be completed and attached in order for your application to be processed):</w:t>
            </w: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03273B" w:rsidRPr="007B201B" w:rsidRDefault="00145227" w:rsidP="00145227">
            <w:pPr>
              <w:pStyle w:val="TableParagraph"/>
              <w:spacing w:line="225" w:lineRule="exact"/>
              <w:ind w:left="0"/>
              <w:rPr>
                <w:b/>
                <w:sz w:val="24"/>
                <w:szCs w:val="24"/>
              </w:rPr>
            </w:pPr>
            <w:r w:rsidRPr="00145227">
              <w:rPr>
                <w:rFonts w:eastAsiaTheme="minorHAnsi"/>
                <w:sz w:val="24"/>
                <w:szCs w:val="24"/>
                <w:lang w:bidi="ar-SA"/>
              </w:rPr>
              <w:t>A letter of intent- (including d/b/a and entity name of the previous and the new owner, the effective date of transfer of ownership, address and phone number)</w:t>
            </w:r>
            <w:r w:rsidRPr="007B20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03273B" w:rsidRPr="007B201B" w:rsidRDefault="00145227" w:rsidP="00145227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Complete the CHOW/ CHOI Application (</w:t>
            </w:r>
            <w:hyperlink r:id="rId6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 xml:space="preserve">CHOW- CHOI Application) </w:t>
              </w:r>
            </w:hyperlink>
            <w:r>
              <w:rPr>
                <w:rFonts w:eastAsiaTheme="minorHAnsi"/>
                <w:sz w:val="24"/>
                <w:szCs w:val="24"/>
                <w:lang w:bidi="ar-SA"/>
              </w:rPr>
              <w:t xml:space="preserve">) and email to </w:t>
            </w:r>
            <w:hyperlink r:id="rId7" w:history="1">
              <w:r w:rsidRPr="009E7ABA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HSSOwnerships@la.gov</w:t>
              </w:r>
            </w:hyperlink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</w:tr>
      <w:tr w:rsidR="00145227" w:rsidTr="00A51413">
        <w:trPr>
          <w:trHeight w:val="263"/>
        </w:trPr>
        <w:tc>
          <w:tcPr>
            <w:tcW w:w="9139" w:type="dxa"/>
          </w:tcPr>
          <w:p w:rsidR="00145227" w:rsidRPr="00145227" w:rsidRDefault="00145227" w:rsidP="00145227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  <w:r w:rsidRPr="00145227">
              <w:rPr>
                <w:sz w:val="24"/>
                <w:szCs w:val="24"/>
              </w:rPr>
              <w:t>A diagram showing the ownership structure “before” and “after” the change with documented room dimensions and identified service areas.</w:t>
            </w: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145227" w:rsidTr="00A51413">
        <w:trPr>
          <w:trHeight w:val="263"/>
        </w:trPr>
        <w:tc>
          <w:tcPr>
            <w:tcW w:w="9139" w:type="dxa"/>
          </w:tcPr>
          <w:p w:rsidR="00145227" w:rsidRPr="00145227" w:rsidRDefault="00145227" w:rsidP="0003273B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</w:t>
            </w:r>
            <w:r w:rsidRPr="00145227">
              <w:rPr>
                <w:sz w:val="24"/>
                <w:szCs w:val="24"/>
              </w:rPr>
              <w:t>of the executed Bill of Sale.</w:t>
            </w: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145227" w:rsidRPr="00BE64CC" w:rsidRDefault="0003273B" w:rsidP="00145227">
            <w:pPr>
              <w:rPr>
                <w:b/>
                <w:bCs/>
                <w:i/>
                <w:lang w:bidi="ar-SA"/>
              </w:rPr>
            </w:pPr>
            <w:r w:rsidRPr="00BE64CC">
              <w:rPr>
                <w:b/>
                <w:i/>
                <w:sz w:val="24"/>
                <w:szCs w:val="24"/>
              </w:rPr>
              <w:t>Step 2</w:t>
            </w:r>
            <w:r w:rsidR="00145227" w:rsidRPr="00BE64CC">
              <w:rPr>
                <w:b/>
                <w:i/>
                <w:sz w:val="24"/>
                <w:szCs w:val="24"/>
              </w:rPr>
              <w:t xml:space="preserve">- </w:t>
            </w:r>
            <w:r w:rsidR="00145227" w:rsidRPr="00BE64CC">
              <w:rPr>
                <w:b/>
                <w:bCs/>
                <w:i/>
              </w:rPr>
              <w:t>FACILITY NEED REVIEW (FNR)</w:t>
            </w:r>
          </w:p>
          <w:p w:rsidR="0003273B" w:rsidRPr="007B201B" w:rsidRDefault="00145227" w:rsidP="00145227">
            <w:pPr>
              <w:pStyle w:val="TableParagraph"/>
              <w:spacing w:before="11" w:line="240" w:lineRule="auto"/>
              <w:ind w:left="0"/>
              <w:rPr>
                <w:b/>
                <w:sz w:val="24"/>
                <w:szCs w:val="24"/>
              </w:rPr>
            </w:pPr>
            <w:r>
              <w:t xml:space="preserve">If facility renders CPST and PSR, provider needs to complete the FNR portion of CHOW through this link </w:t>
            </w:r>
            <w:hyperlink r:id="rId8" w:history="1">
              <w:r>
                <w:rPr>
                  <w:rStyle w:val="Hyperlink"/>
                  <w:color w:val="0000FF"/>
                </w:rPr>
                <w:t>FNR Approval</w:t>
              </w:r>
            </w:hyperlink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F52580" w:rsidTr="00A51413">
        <w:trPr>
          <w:trHeight w:val="263"/>
        </w:trPr>
        <w:tc>
          <w:tcPr>
            <w:tcW w:w="9139" w:type="dxa"/>
          </w:tcPr>
          <w:p w:rsidR="00F52580" w:rsidRDefault="00F52580" w:rsidP="0003273B">
            <w:pPr>
              <w:pStyle w:val="TableParagraph"/>
              <w:spacing w:line="225" w:lineRule="exact"/>
              <w:ind w:left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Letter relinquishing all FNR rights of the current owner. </w:t>
            </w:r>
          </w:p>
        </w:tc>
        <w:tc>
          <w:tcPr>
            <w:tcW w:w="540" w:type="dxa"/>
          </w:tcPr>
          <w:p w:rsidR="00F52580" w:rsidRDefault="00F52580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F52580" w:rsidRDefault="00F52580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F52580" w:rsidRDefault="00F52580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03273B" w:rsidRPr="0071243B" w:rsidRDefault="00145227" w:rsidP="0003273B">
            <w:pPr>
              <w:pStyle w:val="TableParagraph"/>
              <w:spacing w:line="225" w:lineRule="exact"/>
              <w:ind w:left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Pay the FNR fee ($200) </w:t>
            </w: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145227" w:rsidTr="00A51413">
        <w:trPr>
          <w:trHeight w:val="263"/>
        </w:trPr>
        <w:tc>
          <w:tcPr>
            <w:tcW w:w="9139" w:type="dxa"/>
          </w:tcPr>
          <w:p w:rsidR="00145227" w:rsidRPr="00BE64CC" w:rsidRDefault="00145227" w:rsidP="0003273B">
            <w:pPr>
              <w:pStyle w:val="TableParagraph"/>
              <w:spacing w:line="225" w:lineRule="exact"/>
              <w:ind w:left="0"/>
              <w:rPr>
                <w:rFonts w:eastAsiaTheme="minorHAnsi"/>
                <w:b/>
                <w:i/>
                <w:sz w:val="24"/>
                <w:szCs w:val="24"/>
                <w:lang w:bidi="ar-SA"/>
              </w:rPr>
            </w:pPr>
            <w:r w:rsidRPr="00BE64CC">
              <w:rPr>
                <w:rFonts w:eastAsiaTheme="minorHAnsi"/>
                <w:b/>
                <w:i/>
                <w:sz w:val="24"/>
                <w:szCs w:val="24"/>
                <w:lang w:bidi="ar-SA"/>
              </w:rPr>
              <w:t>Step 3- LICENSING (To be completed after FNR relinquishment &amp; HSSOwnerships has rendered CHOW determination.)</w:t>
            </w: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145227" w:rsidRDefault="00145227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3273B" w:rsidTr="00A51413">
        <w:trPr>
          <w:trHeight w:val="263"/>
        </w:trPr>
        <w:tc>
          <w:tcPr>
            <w:tcW w:w="9139" w:type="dxa"/>
          </w:tcPr>
          <w:p w:rsidR="00145227" w:rsidRDefault="00145227" w:rsidP="00145227">
            <w:pPr>
              <w:widowControl/>
              <w:autoSpaceDE/>
              <w:autoSpaceDN/>
              <w:spacing w:line="252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Complete pages 1-3 of the BHSP License Application located here:  </w:t>
            </w:r>
            <w:hyperlink r:id="rId9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BHS Application</w:t>
              </w:r>
            </w:hyperlink>
          </w:p>
          <w:p w:rsidR="00145227" w:rsidRDefault="00145227" w:rsidP="00145227">
            <w:pPr>
              <w:spacing w:line="252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Instead of selecting “Initial” or “Renewal” in Section 1, enter “CHOW” in the blank next to “Other specify)”.    </w:t>
            </w:r>
          </w:p>
          <w:p w:rsidR="00145227" w:rsidRDefault="00145227" w:rsidP="00145227">
            <w:pPr>
              <w:spacing w:line="252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Provider is to complete this form with the new facility info (e.g. DBA Name, EIN, etc.).</w:t>
            </w:r>
          </w:p>
          <w:p w:rsidR="00145227" w:rsidRDefault="00145227" w:rsidP="00145227">
            <w:pPr>
              <w:spacing w:line="252" w:lineRule="auto"/>
              <w:rPr>
                <w14:ligatures w14:val="standardContextual"/>
              </w:rPr>
            </w:pPr>
            <w:r>
              <w:rPr>
                <w:noProof/>
                <w:lang w:bidi="ar-SA"/>
                <w14:ligatures w14:val="standardContextual"/>
              </w:rPr>
              <w:drawing>
                <wp:inline distT="0" distB="0" distL="0" distR="0" wp14:anchorId="7FD0B934">
                  <wp:extent cx="3942715" cy="131445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71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273B" w:rsidRPr="00FC6276" w:rsidRDefault="0003273B" w:rsidP="0003273B">
            <w:pPr>
              <w:pStyle w:val="TableParagraph"/>
              <w:spacing w:line="225" w:lineRule="exact"/>
              <w:ind w:left="0"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3273B" w:rsidRDefault="0003273B" w:rsidP="0003273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pStyle w:val="TableParagraph"/>
              <w:spacing w:line="225" w:lineRule="exact"/>
              <w:ind w:left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The non-refundable licensing fee established by statute, copy of the check and completed Transmittal Form. </w:t>
            </w:r>
          </w:p>
          <w:p w:rsidR="000B2E17" w:rsidRPr="007B201B" w:rsidRDefault="000B2E17" w:rsidP="000B2E1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Updated fees are located at </w:t>
            </w:r>
            <w:hyperlink r:id="rId11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Health Standards Fee Schedule</w:t>
              </w:r>
            </w:hyperlink>
          </w:p>
          <w:p w:rsidR="000B2E17" w:rsidRPr="007B201B" w:rsidRDefault="000B2E17" w:rsidP="000B2E1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Mail Payment and Payment Transmittal Form to: </w:t>
            </w:r>
          </w:p>
          <w:p w:rsidR="000B2E17" w:rsidRPr="007B201B" w:rsidRDefault="000B2E17" w:rsidP="000B2E1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>DHH Licensing Payments, P.O. Box 734350, Dallas, TX 75373</w:t>
            </w:r>
          </w:p>
          <w:p w:rsidR="000B2E17" w:rsidRPr="00834FEC" w:rsidRDefault="000B2E17" w:rsidP="000B2E1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Payment Procedure located at: </w:t>
            </w:r>
            <w:r>
              <w:rPr>
                <w:rFonts w:eastAsiaTheme="minorHAnsi"/>
                <w:sz w:val="24"/>
                <w:szCs w:val="24"/>
                <w:lang w:bidi="ar-SA"/>
              </w:rPr>
              <w:fldChar w:fldCharType="begin"/>
            </w:r>
            <w:r>
              <w:rPr>
                <w:rFonts w:eastAsiaTheme="minorHAnsi"/>
                <w:sz w:val="24"/>
                <w:szCs w:val="24"/>
                <w:lang w:bidi="ar-SA"/>
              </w:rPr>
              <w:instrText xml:space="preserve"> HYPERLINK "https://ldh.la.gov/page/hss-payment-procedure" </w:instrText>
            </w:r>
            <w:r>
              <w:rPr>
                <w:rFonts w:eastAsiaTheme="minorHAnsi"/>
                <w:sz w:val="24"/>
                <w:szCs w:val="24"/>
                <w:lang w:bidi="ar-SA"/>
              </w:rPr>
              <w:fldChar w:fldCharType="separate"/>
            </w:r>
            <w:r w:rsidRPr="00834FEC">
              <w:rPr>
                <w:rStyle w:val="Hyperlink"/>
                <w:rFonts w:eastAsiaTheme="minorHAnsi"/>
                <w:sz w:val="24"/>
                <w:szCs w:val="24"/>
                <w:lang w:bidi="ar-SA"/>
              </w:rPr>
              <w:t>Payment Procedure</w:t>
            </w:r>
          </w:p>
          <w:p w:rsidR="000B2E17" w:rsidRDefault="000B2E17" w:rsidP="000B2E1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fldChar w:fldCharType="end"/>
            </w: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Payment Transmittal Form located at: </w:t>
            </w:r>
            <w:hyperlink r:id="rId12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Payment Transmittal Form</w:t>
              </w:r>
            </w:hyperlink>
          </w:p>
          <w:p w:rsidR="00206356" w:rsidRPr="00206356" w:rsidRDefault="00206356" w:rsidP="0020635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206356">
              <w:rPr>
                <w:sz w:val="24"/>
                <w:szCs w:val="24"/>
              </w:rPr>
              <w:t xml:space="preserve">Payments take approximately </w:t>
            </w:r>
            <w:r w:rsidRPr="00CB5640">
              <w:rPr>
                <w:b/>
                <w:sz w:val="24"/>
                <w:szCs w:val="24"/>
              </w:rPr>
              <w:t>14 days</w:t>
            </w:r>
            <w:r w:rsidRPr="00206356">
              <w:rPr>
                <w:sz w:val="24"/>
                <w:szCs w:val="24"/>
              </w:rPr>
              <w:t xml:space="preserve"> to clear the lockbox from the date it is mailed</w:t>
            </w:r>
          </w:p>
          <w:p w:rsidR="00206356" w:rsidRPr="007B201B" w:rsidRDefault="00206356" w:rsidP="00206356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06356">
              <w:rPr>
                <w:sz w:val="24"/>
                <w:szCs w:val="24"/>
              </w:rPr>
              <w:t xml:space="preserve">Payment Transmittal form </w:t>
            </w:r>
            <w:r w:rsidRPr="00CB5640">
              <w:rPr>
                <w:b/>
                <w:sz w:val="24"/>
                <w:szCs w:val="24"/>
              </w:rPr>
              <w:t>MUST</w:t>
            </w:r>
            <w:r w:rsidRPr="00206356">
              <w:rPr>
                <w:sz w:val="24"/>
                <w:szCs w:val="24"/>
              </w:rPr>
              <w:t xml:space="preserve"> be filled out completely and sent with each payment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The LDH plan review approval letter from Office of State Fire Marshal, (OSFM). </w:t>
            </w:r>
            <w:r w:rsidRPr="00C84C40">
              <w:rPr>
                <w:rFonts w:eastAsiaTheme="minorHAnsi"/>
                <w:sz w:val="24"/>
                <w:szCs w:val="24"/>
                <w:lang w:bidi="ar-SA"/>
              </w:rPr>
              <w:t>(will have DH-##-###)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C84C40">
              <w:rPr>
                <w:rFonts w:eastAsiaTheme="minorHAnsi"/>
                <w:sz w:val="24"/>
                <w:szCs w:val="24"/>
                <w:lang w:bidi="ar-SA"/>
              </w:rPr>
              <w:t>Attestation for compliance with each of the OSFM DH plan review Cautionary codes.</w:t>
            </w:r>
            <w:r w:rsidR="00B26FE4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hyperlink r:id="rId13" w:history="1">
              <w:r w:rsidR="00B26FE4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Attestation to Plan Review Cautionary Codes</w:t>
              </w:r>
            </w:hyperlink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The on-site inspection report with approval for occupancy by the OSFM.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The health inspection report with recommendation for licensure from the Office of Public Health, (OPH).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A current (within 90 days prior to the submission of the application packet) statewide criminal background check</w:t>
            </w:r>
            <w:r>
              <w:rPr>
                <w:rFonts w:eastAsiaTheme="minorHAnsi"/>
                <w:sz w:val="24"/>
                <w:szCs w:val="24"/>
                <w:lang w:bidi="ar-SA"/>
              </w:rPr>
              <w:t>,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 including sex offender registry status, on all owners and managing employees.</w:t>
            </w:r>
          </w:p>
          <w:p w:rsidR="000B2E17" w:rsidRPr="001A2266" w:rsidRDefault="000B2E17" w:rsidP="000B2E17">
            <w:pPr>
              <w:widowControl/>
              <w:adjustRightInd w:val="0"/>
              <w:rPr>
                <w:rFonts w:eastAsiaTheme="minorHAnsi"/>
                <w:color w:val="0000FF" w:themeColor="hyperlink"/>
                <w:sz w:val="24"/>
                <w:szCs w:val="24"/>
                <w:u w:val="single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All criminal background checks </w:t>
            </w:r>
            <w:proofErr w:type="gramStart"/>
            <w:r>
              <w:rPr>
                <w:rFonts w:eastAsiaTheme="minorHAnsi"/>
                <w:sz w:val="24"/>
                <w:szCs w:val="24"/>
                <w:lang w:bidi="ar-SA"/>
              </w:rPr>
              <w:t>be completed</w:t>
            </w:r>
            <w:proofErr w:type="gram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by a Louisiana State Police Authorized Agency. Approved agencies are located at: </w:t>
            </w:r>
            <w:hyperlink r:id="rId14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Louisiana State Police Authorized Agencies</w:t>
              </w:r>
            </w:hyperlink>
          </w:p>
          <w:p w:rsidR="000B2E17" w:rsidRPr="000B2E17" w:rsidRDefault="000B2E17" w:rsidP="000B2E17">
            <w:pPr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Crimes that Bar Employment can be found at: </w:t>
            </w:r>
            <w:hyperlink r:id="rId15" w:history="1">
              <w:r w:rsidRPr="000B2E17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https://legis.la.gov/Legis/Law.aspx?p=y&amp;d=964762</w:t>
              </w:r>
            </w:hyperlink>
          </w:p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NOTE: 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>All other staff must have the appropriate criminal background check completed per the regulations and available onsite for the Initial Licensing Survey.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527"/>
        </w:trPr>
        <w:tc>
          <w:tcPr>
            <w:tcW w:w="9139" w:type="dxa"/>
          </w:tcPr>
          <w:p w:rsidR="000B2E17" w:rsidRPr="007B201B" w:rsidRDefault="004454E0" w:rsidP="000B2E17">
            <w:pPr>
              <w:rPr>
                <w:sz w:val="24"/>
                <w:szCs w:val="24"/>
              </w:rPr>
            </w:pPr>
            <w:hyperlink r:id="rId16" w:history="1"/>
            <w:r w:rsidR="000B2E17" w:rsidRPr="007B201B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="000B2E17" w:rsidRPr="007B201B">
              <w:rPr>
                <w:rFonts w:eastAsiaTheme="minorHAnsi"/>
                <w:b/>
                <w:sz w:val="24"/>
                <w:szCs w:val="24"/>
                <w:lang w:bidi="ar-SA"/>
              </w:rPr>
              <w:t>Financial Viability-the provider seeking licensure is able to provide verification and continuous maintenance of all of the following pursuant to R.S. 40:2153: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477"/>
        </w:trPr>
        <w:tc>
          <w:tcPr>
            <w:tcW w:w="9139" w:type="dxa"/>
          </w:tcPr>
          <w:p w:rsidR="000B2E17" w:rsidRPr="007B201B" w:rsidRDefault="000B2E17" w:rsidP="008852F0">
            <w:pPr>
              <w:widowControl/>
              <w:adjustRightInd w:val="0"/>
              <w:rPr>
                <w:b/>
                <w:i/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1. </w:t>
            </w:r>
            <w:r w:rsidR="008852F0">
              <w:rPr>
                <w:rFonts w:eastAsiaTheme="minorHAnsi"/>
                <w:sz w:val="24"/>
                <w:szCs w:val="24"/>
                <w:lang w:bidi="ar-SA"/>
              </w:rPr>
              <w:t>A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 line of credit issued from a federally insured, licensed lending institution in the amount of at least $50,000;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2. </w:t>
            </w:r>
            <w:r w:rsidR="008852F0">
              <w:rPr>
                <w:rFonts w:eastAsiaTheme="minorHAnsi"/>
                <w:sz w:val="24"/>
                <w:szCs w:val="24"/>
                <w:lang w:bidi="ar-SA"/>
              </w:rPr>
              <w:t>P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>roof of professional liability insurance of at least $500,000 or proof of self-insurance of at least $100,000, along with proof of enrollment as a qualified health care provider with the Louisiana Patient's Compensation Fund (PCF): a. if the BHS provider is self-insured and is not enrolled in the PCF, professional liability limits shall be $1 million per occurrence/$3 million per annual aggregate.</w:t>
            </w:r>
          </w:p>
          <w:p w:rsidR="000B2E17" w:rsidRDefault="000B2E17" w:rsidP="000B2E17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NOTE: the LDH-HSS </w:t>
            </w:r>
            <w:proofErr w:type="gramStart"/>
            <w:r w:rsidRPr="007B201B">
              <w:rPr>
                <w:rFonts w:eastAsiaTheme="minorHAnsi"/>
                <w:b/>
                <w:sz w:val="24"/>
                <w:szCs w:val="24"/>
                <w:lang w:bidi="ar-SA"/>
              </w:rPr>
              <w:t>shall specifically be identified</w:t>
            </w:r>
            <w:proofErr w:type="gramEnd"/>
            <w:r w:rsidRPr="007B201B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8852F0" w:rsidRPr="007B201B" w:rsidRDefault="008852F0" w:rsidP="000B2E17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8852F0">
              <w:rPr>
                <w:b/>
                <w:sz w:val="24"/>
                <w:szCs w:val="24"/>
              </w:rPr>
              <w:t>Specifically:</w:t>
            </w:r>
            <w:r>
              <w:rPr>
                <w:sz w:val="24"/>
                <w:szCs w:val="24"/>
              </w:rPr>
              <w:t xml:space="preserve"> </w:t>
            </w:r>
            <w:r w:rsidRPr="00453F33">
              <w:rPr>
                <w:sz w:val="24"/>
                <w:szCs w:val="24"/>
              </w:rPr>
              <w:t>LDH Health Standards Section, PO Box 3767, Baton Rouge, La. 70821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Default="000B2E17" w:rsidP="008852F0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3. </w:t>
            </w:r>
            <w:r w:rsidR="008852F0">
              <w:rPr>
                <w:rFonts w:eastAsiaTheme="minorHAnsi"/>
                <w:sz w:val="24"/>
                <w:szCs w:val="24"/>
                <w:lang w:bidi="ar-SA"/>
              </w:rPr>
              <w:t>P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>roof of wo</w:t>
            </w:r>
            <w:r w:rsidR="008852F0">
              <w:rPr>
                <w:rFonts w:eastAsiaTheme="minorHAnsi"/>
                <w:sz w:val="24"/>
                <w:szCs w:val="24"/>
                <w:lang w:bidi="ar-SA"/>
              </w:rPr>
              <w:t xml:space="preserve">rkers' compensation insurance; </w:t>
            </w:r>
          </w:p>
          <w:p w:rsidR="008852F0" w:rsidRPr="003927FE" w:rsidRDefault="008852F0" w:rsidP="008852F0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3927FE">
              <w:rPr>
                <w:b/>
                <w:sz w:val="24"/>
                <w:szCs w:val="24"/>
              </w:rPr>
              <w:t xml:space="preserve">NOTE: the LDH-HSS </w:t>
            </w:r>
            <w:proofErr w:type="gramStart"/>
            <w:r w:rsidRPr="003927FE">
              <w:rPr>
                <w:b/>
                <w:sz w:val="24"/>
                <w:szCs w:val="24"/>
              </w:rPr>
              <w:t>shall specifically be identified</w:t>
            </w:r>
            <w:proofErr w:type="gramEnd"/>
            <w:r w:rsidRPr="003927FE">
              <w:rPr>
                <w:b/>
                <w:sz w:val="24"/>
                <w:szCs w:val="24"/>
              </w:rPr>
              <w:t xml:space="preserve"> as the certificate holder on any policies and any certificates of insurance issued as proof of insurance by the insurer or producer (agent).</w:t>
            </w:r>
          </w:p>
          <w:p w:rsidR="008852F0" w:rsidRPr="007B201B" w:rsidRDefault="008852F0" w:rsidP="008852F0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181061">
              <w:rPr>
                <w:b/>
                <w:sz w:val="24"/>
                <w:szCs w:val="24"/>
              </w:rPr>
              <w:t>Specifically:</w:t>
            </w:r>
            <w:r w:rsidRPr="003927FE">
              <w:rPr>
                <w:sz w:val="24"/>
                <w:szCs w:val="24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Default="000B2E17" w:rsidP="000B2E17">
            <w:pPr>
              <w:pStyle w:val="TableParagraph"/>
              <w:spacing w:line="225" w:lineRule="exact"/>
              <w:ind w:left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4. </w:t>
            </w:r>
            <w:r w:rsidR="008852F0">
              <w:rPr>
                <w:rFonts w:eastAsiaTheme="minorHAnsi"/>
                <w:sz w:val="24"/>
                <w:szCs w:val="24"/>
                <w:lang w:bidi="ar-SA"/>
              </w:rPr>
              <w:t>P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>roof of general liability insurance of at least $500,000.</w:t>
            </w:r>
          </w:p>
          <w:p w:rsidR="008852F0" w:rsidRPr="003927FE" w:rsidRDefault="008852F0" w:rsidP="008852F0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3927FE">
              <w:rPr>
                <w:b/>
                <w:sz w:val="24"/>
                <w:szCs w:val="24"/>
              </w:rPr>
              <w:t xml:space="preserve">NOTE: the LDH-HSS </w:t>
            </w:r>
            <w:proofErr w:type="gramStart"/>
            <w:r w:rsidRPr="003927FE">
              <w:rPr>
                <w:b/>
                <w:sz w:val="24"/>
                <w:szCs w:val="24"/>
              </w:rPr>
              <w:t>shall specifically be identified</w:t>
            </w:r>
            <w:proofErr w:type="gramEnd"/>
            <w:r w:rsidRPr="003927FE">
              <w:rPr>
                <w:b/>
                <w:sz w:val="24"/>
                <w:szCs w:val="24"/>
              </w:rPr>
              <w:t xml:space="preserve"> as the certificate holder on any policies and any certificates of insurance issued as proof of insurance by the insurer or producer (agent).</w:t>
            </w:r>
          </w:p>
          <w:p w:rsidR="008852F0" w:rsidRPr="007B201B" w:rsidRDefault="008852F0" w:rsidP="008852F0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181061">
              <w:rPr>
                <w:b/>
                <w:sz w:val="24"/>
                <w:szCs w:val="24"/>
              </w:rPr>
              <w:t>Specifically:</w:t>
            </w:r>
            <w:r w:rsidRPr="003927FE">
              <w:rPr>
                <w:sz w:val="24"/>
                <w:szCs w:val="24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7B201B">
        <w:trPr>
          <w:trHeight w:val="377"/>
        </w:trPr>
        <w:tc>
          <w:tcPr>
            <w:tcW w:w="9139" w:type="dxa"/>
          </w:tcPr>
          <w:p w:rsidR="000B2E17" w:rsidRPr="007B201B" w:rsidRDefault="000B2E17" w:rsidP="000B2E17">
            <w:pPr>
              <w:pStyle w:val="TableParagraph"/>
              <w:spacing w:before="31" w:line="240" w:lineRule="auto"/>
              <w:ind w:left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An organizational chart and names, including position titles of key administrative personnel and governing body. Sample Org. Chart located at: </w:t>
            </w:r>
            <w:hyperlink r:id="rId17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Organizational Chart</w:t>
              </w:r>
            </w:hyperlink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If operated by a corporate entity, such as a corporation or a limited liability company, current proof of registration and status with the Louisiana Secretary of State.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Disclosure of Ownership form. Located at: </w:t>
            </w:r>
            <w:hyperlink r:id="rId18" w:history="1">
              <w:r w:rsidRPr="00CD74CB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Disclosure of Ownership and Controlling Interest Statement</w:t>
              </w:r>
            </w:hyperlink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Any other documentation or information required by the department for licensure.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Documentation for opioid treatment programs, such as a copy of the OBH FNA letter.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263"/>
        </w:trPr>
        <w:tc>
          <w:tcPr>
            <w:tcW w:w="9139" w:type="dxa"/>
          </w:tcPr>
          <w:p w:rsidR="000B2E17" w:rsidRPr="007B201B" w:rsidRDefault="000B2E17" w:rsidP="000B2E17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For a residential substance use disorder facility, submission of the attestation in accordance with §5712 of this Rule. </w:t>
            </w:r>
          </w:p>
          <w:p w:rsidR="000B2E17" w:rsidRPr="007B201B" w:rsidRDefault="000B2E17" w:rsidP="000B2E17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b/>
                <w:sz w:val="24"/>
                <w:szCs w:val="24"/>
                <w:highlight w:val="yellow"/>
                <w:lang w:bidi="ar-SA"/>
              </w:rPr>
              <w:t>NOTE:</w:t>
            </w:r>
            <w:r w:rsidRPr="007B201B">
              <w:rPr>
                <w:rFonts w:eastAsiaTheme="minorHAnsi"/>
                <w:sz w:val="24"/>
                <w:szCs w:val="24"/>
                <w:highlight w:val="yellow"/>
                <w:lang w:bidi="ar-SA"/>
              </w:rPr>
              <w:t xml:space="preserve"> By answering the questions on page 2 of the application, this serves as your attestation.</w:t>
            </w: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527"/>
        </w:trPr>
        <w:tc>
          <w:tcPr>
            <w:tcW w:w="9139" w:type="dxa"/>
          </w:tcPr>
          <w:p w:rsidR="000B2E17" w:rsidRPr="007B201B" w:rsidRDefault="000B2E17" w:rsidP="000174CB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rFonts w:ascii="CIDFont+F2" w:eastAsiaTheme="minorHAnsi" w:hAnsi="CIDFont+F2" w:cs="CIDFont+F2"/>
                <w:sz w:val="20"/>
                <w:szCs w:val="20"/>
                <w:lang w:bidi="ar-SA"/>
              </w:rPr>
              <w:t xml:space="preserve">  </w:t>
            </w:r>
            <w:r w:rsidRPr="000232B4">
              <w:rPr>
                <w:b/>
              </w:rPr>
              <w:t>Please email all documents (Except actual payment as noted above) to</w:t>
            </w:r>
            <w:r>
              <w:t>:</w:t>
            </w:r>
            <w:r w:rsidRPr="00C030B1">
              <w:t xml:space="preserve"> </w:t>
            </w:r>
            <w:hyperlink r:id="rId19" w:history="1">
              <w:r w:rsidR="008C47E1" w:rsidRPr="002205D2">
                <w:rPr>
                  <w:rStyle w:val="Hyperlink"/>
                </w:rPr>
                <w:t>HSS-BHSProviders@la.gov</w:t>
              </w:r>
            </w:hyperlink>
            <w:r w:rsidR="008C47E1">
              <w:t xml:space="preserve">  </w:t>
            </w: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B2E17" w:rsidTr="00A51413">
        <w:trPr>
          <w:trHeight w:val="527"/>
        </w:trPr>
        <w:tc>
          <w:tcPr>
            <w:tcW w:w="9139" w:type="dxa"/>
          </w:tcPr>
          <w:p w:rsidR="000B2E17" w:rsidRDefault="000B2E17" w:rsidP="000B2E17">
            <w:pPr>
              <w:widowControl/>
              <w:adjustRightInd w:val="0"/>
              <w:rPr>
                <w:sz w:val="20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540" w:type="dxa"/>
          </w:tcPr>
          <w:p w:rsidR="000B2E17" w:rsidRDefault="000B2E17" w:rsidP="000B2E17">
            <w:pPr>
              <w:pStyle w:val="TableParagraph"/>
              <w:ind w:left="178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630" w:type="dxa"/>
          </w:tcPr>
          <w:p w:rsidR="000B2E17" w:rsidRDefault="000B2E17" w:rsidP="000B2E17">
            <w:pPr>
              <w:pStyle w:val="TableParagraph"/>
              <w:ind w:left="178"/>
              <w:rPr>
                <w:noProof/>
                <w:position w:val="-3"/>
                <w:sz w:val="20"/>
                <w:lang w:bidi="ar-SA"/>
              </w:rPr>
            </w:pPr>
          </w:p>
        </w:tc>
      </w:tr>
    </w:tbl>
    <w:p w:rsidR="00F05DBF" w:rsidRDefault="00F05DBF">
      <w:pPr>
        <w:rPr>
          <w:b/>
          <w:sz w:val="24"/>
        </w:rPr>
      </w:pPr>
    </w:p>
    <w:p w:rsidR="00F05DBF" w:rsidRDefault="00F05DBF">
      <w:pPr>
        <w:spacing w:before="9"/>
        <w:rPr>
          <w:b/>
          <w:sz w:val="35"/>
        </w:rPr>
      </w:pPr>
    </w:p>
    <w:p w:rsidR="00F05DBF" w:rsidRDefault="00F30E84">
      <w:pPr>
        <w:ind w:left="920"/>
        <w:rPr>
          <w:i/>
          <w:sz w:val="20"/>
        </w:rPr>
      </w:pPr>
      <w:r>
        <w:rPr>
          <w:i/>
          <w:sz w:val="20"/>
        </w:rPr>
        <w:t>HSS-BH-INITIAL Provider Checklist (</w:t>
      </w:r>
      <w:r w:rsidR="007468FF">
        <w:rPr>
          <w:i/>
          <w:sz w:val="20"/>
        </w:rPr>
        <w:t>01/29/2025</w:t>
      </w:r>
      <w:r>
        <w:rPr>
          <w:i/>
          <w:sz w:val="20"/>
        </w:rPr>
        <w:t>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t>Health Standards Section</w:t>
      </w:r>
    </w:p>
    <w:p w:rsidR="00F05DBF" w:rsidRDefault="005D4217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1C63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20">
        <w:r w:rsidR="00F30E84">
          <w:t>-5073</w:t>
        </w:r>
      </w:hyperlink>
    </w:p>
    <w:p w:rsidR="00F05DBF" w:rsidRDefault="004454E0">
      <w:pPr>
        <w:pStyle w:val="BodyText"/>
        <w:ind w:left="4958"/>
      </w:pPr>
      <w:hyperlink r:id="rId21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ACF"/>
    <w:multiLevelType w:val="hybridMultilevel"/>
    <w:tmpl w:val="33A22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174CB"/>
    <w:rsid w:val="0003273B"/>
    <w:rsid w:val="00034524"/>
    <w:rsid w:val="000B2E17"/>
    <w:rsid w:val="00145227"/>
    <w:rsid w:val="00181061"/>
    <w:rsid w:val="001A2266"/>
    <w:rsid w:val="001E2304"/>
    <w:rsid w:val="00204077"/>
    <w:rsid w:val="00206356"/>
    <w:rsid w:val="00210E12"/>
    <w:rsid w:val="00311376"/>
    <w:rsid w:val="0031250D"/>
    <w:rsid w:val="003606F7"/>
    <w:rsid w:val="003F3914"/>
    <w:rsid w:val="00402AE7"/>
    <w:rsid w:val="00412869"/>
    <w:rsid w:val="004454E0"/>
    <w:rsid w:val="004760FB"/>
    <w:rsid w:val="004949B3"/>
    <w:rsid w:val="004C3CCF"/>
    <w:rsid w:val="004F2826"/>
    <w:rsid w:val="00516C14"/>
    <w:rsid w:val="005A171A"/>
    <w:rsid w:val="005D4217"/>
    <w:rsid w:val="00663228"/>
    <w:rsid w:val="006B5994"/>
    <w:rsid w:val="0071243B"/>
    <w:rsid w:val="007468FF"/>
    <w:rsid w:val="007B201B"/>
    <w:rsid w:val="007D054F"/>
    <w:rsid w:val="00815AEC"/>
    <w:rsid w:val="00834FEC"/>
    <w:rsid w:val="008852F0"/>
    <w:rsid w:val="008941BD"/>
    <w:rsid w:val="008C47E1"/>
    <w:rsid w:val="008F6AEC"/>
    <w:rsid w:val="009D3937"/>
    <w:rsid w:val="00A33634"/>
    <w:rsid w:val="00A51413"/>
    <w:rsid w:val="00A61D47"/>
    <w:rsid w:val="00AF36F9"/>
    <w:rsid w:val="00B04AB7"/>
    <w:rsid w:val="00B26FE4"/>
    <w:rsid w:val="00B922B1"/>
    <w:rsid w:val="00B940BE"/>
    <w:rsid w:val="00BE64CC"/>
    <w:rsid w:val="00BF6BE2"/>
    <w:rsid w:val="00C7722E"/>
    <w:rsid w:val="00C84C40"/>
    <w:rsid w:val="00CB5640"/>
    <w:rsid w:val="00CD74CB"/>
    <w:rsid w:val="00D81A1C"/>
    <w:rsid w:val="00DA281B"/>
    <w:rsid w:val="00E03D2D"/>
    <w:rsid w:val="00E62ADD"/>
    <w:rsid w:val="00EC43C9"/>
    <w:rsid w:val="00EF5173"/>
    <w:rsid w:val="00F05DBF"/>
    <w:rsid w:val="00F30E84"/>
    <w:rsid w:val="00F52580"/>
    <w:rsid w:val="00F91A93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360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accessgov.com/hss/Forms/Page/facility-need-review/request-form/" TargetMode="External"/><Relationship Id="rId13" Type="http://schemas.openxmlformats.org/officeDocument/2006/relationships/hyperlink" Target="https://ldh.la.gov/assets/medicaid/hss/docs/BHS/HSS_PR_02PlanReviewAttestation.doc" TargetMode="External"/><Relationship Id="rId18" Type="http://schemas.openxmlformats.org/officeDocument/2006/relationships/hyperlink" Target="https://view.officeapps.live.com/op/view.aspx?src=https%3A%2F%2Fldh.la.gov%2Fassets%2Fmedicaid%2Fhss%2Fdocs%2FBHS%2FHSS_ALL_1513DisclosureOwnership.doc&amp;wdOrigin=BROWSE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dh.la.gov/" TargetMode="External"/><Relationship Id="rId7" Type="http://schemas.openxmlformats.org/officeDocument/2006/relationships/hyperlink" Target="mailto:HSSOwnerships@la.gov" TargetMode="External"/><Relationship Id="rId12" Type="http://schemas.openxmlformats.org/officeDocument/2006/relationships/hyperlink" Target="https://ldh.la.gov/assets/medicaid/hss/docs/ALL_Prgms/PaymentTransmittalForm062019.doc" TargetMode="External"/><Relationship Id="rId17" Type="http://schemas.openxmlformats.org/officeDocument/2006/relationships/hyperlink" Target="https://ldh.la.gov/assets/medicaid/hss/docs/BHS/Required_BHS_staff_cha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.la.gov/Legis/Law.aspx?p=y&amp;d=964762" TargetMode="External"/><Relationship Id="rId20" Type="http://schemas.openxmlformats.org/officeDocument/2006/relationships/hyperlink" Target="http://ldh.l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dh.la.gov/page/hss-forms" TargetMode="External"/><Relationship Id="rId11" Type="http://schemas.openxmlformats.org/officeDocument/2006/relationships/hyperlink" Target="https://ldh.la.gov/index.cfm/page/2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gis.la.gov/Legis/Law.aspx?p=y&amp;d=96476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HSS-BHSProviders@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h.la.gov/assets/medicaid/hss/docs/BHS/HSS-BH-01_Lic-App-February2024.pdf" TargetMode="External"/><Relationship Id="rId14" Type="http://schemas.openxmlformats.org/officeDocument/2006/relationships/hyperlink" Target="https://ldh.la.gov/assets/medicaid/hss/docs/LSP_Auth_Agency/Authorized_Agency_rev0904202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2</cp:revision>
  <dcterms:created xsi:type="dcterms:W3CDTF">2025-02-13T12:43:00Z</dcterms:created>
  <dcterms:modified xsi:type="dcterms:W3CDTF">2025-02-13T12:43:00Z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