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F" w:rsidRDefault="00F05DBF">
      <w:pPr>
        <w:rPr>
          <w:sz w:val="20"/>
        </w:rPr>
      </w:pPr>
    </w:p>
    <w:p w:rsidR="00F05DBF" w:rsidRDefault="00F05DBF">
      <w:pPr>
        <w:spacing w:before="8"/>
        <w:rPr>
          <w:sz w:val="15"/>
        </w:rPr>
      </w:pPr>
    </w:p>
    <w:p w:rsidR="00F05DBF" w:rsidRDefault="00F30E84" w:rsidP="00AE13FE">
      <w:pPr>
        <w:pStyle w:val="Heading1"/>
        <w:spacing w:before="90"/>
        <w:jc w:val="both"/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-261199</wp:posOffset>
            </wp:positionV>
            <wp:extent cx="1794764" cy="461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6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Standards Section</w:t>
      </w:r>
    </w:p>
    <w:p w:rsidR="00F05DBF" w:rsidRPr="00463672" w:rsidRDefault="005F2BB1" w:rsidP="00AE13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Facility Closure </w:t>
      </w:r>
      <w:r w:rsidR="00463672" w:rsidRPr="00463672">
        <w:rPr>
          <w:b/>
          <w:sz w:val="24"/>
          <w:szCs w:val="24"/>
        </w:rPr>
        <w:t>Checklist for Behavioral Health Service Provider (BHSP)</w:t>
      </w:r>
    </w:p>
    <w:p w:rsidR="00F05DBF" w:rsidRPr="00AE13FE" w:rsidRDefault="00AE13FE">
      <w:pPr>
        <w:spacing w:before="5"/>
        <w:rPr>
          <w:b/>
          <w:i/>
          <w:sz w:val="24"/>
          <w:szCs w:val="24"/>
        </w:rPr>
      </w:pPr>
      <w:r w:rsidRPr="00AE13FE">
        <w:rPr>
          <w:b/>
          <w:i/>
          <w:sz w:val="24"/>
          <w:szCs w:val="24"/>
        </w:rPr>
        <w:t xml:space="preserve">Name of Provider: </w:t>
      </w:r>
    </w:p>
    <w:p w:rsidR="00F05DBF" w:rsidRDefault="00F05DBF">
      <w:pPr>
        <w:spacing w:before="1"/>
        <w:ind w:left="1700"/>
        <w:rPr>
          <w:b/>
          <w:i/>
          <w:sz w:val="24"/>
        </w:rPr>
      </w:pPr>
    </w:p>
    <w:p w:rsidR="00F05DBF" w:rsidRDefault="00F30E84" w:rsidP="00463672">
      <w:pPr>
        <w:spacing w:before="40"/>
        <w:rPr>
          <w:b/>
        </w:rPr>
      </w:pPr>
      <w:r>
        <w:rPr>
          <w:b/>
        </w:rPr>
        <w:t>A</w:t>
      </w:r>
      <w:r w:rsidR="00463672">
        <w:rPr>
          <w:b/>
        </w:rPr>
        <w:t>LL ITEMS BELOW ARE REQURIED FOR UNIT (BEDROOM) AND BED ADDITIONS</w:t>
      </w:r>
    </w:p>
    <w:p w:rsidR="00F05DBF" w:rsidRDefault="00F05DBF">
      <w:pPr>
        <w:spacing w:before="8"/>
        <w:rPr>
          <w:b/>
          <w:sz w:val="7"/>
        </w:rPr>
      </w:pPr>
    </w:p>
    <w:tbl>
      <w:tblPr>
        <w:tblW w:w="1003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9"/>
        <w:gridCol w:w="540"/>
        <w:gridCol w:w="540"/>
      </w:tblGrid>
      <w:tr w:rsidR="00A40792" w:rsidTr="00A40792">
        <w:trPr>
          <w:trHeight w:val="263"/>
        </w:trPr>
        <w:tc>
          <w:tcPr>
            <w:tcW w:w="8959" w:type="dxa"/>
          </w:tcPr>
          <w:p w:rsidR="00A40792" w:rsidRDefault="00A40792" w:rsidP="005F2BB1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 w:rsidRPr="005F2BB1">
              <w:rPr>
                <w:b/>
                <w:sz w:val="24"/>
                <w:szCs w:val="24"/>
              </w:rPr>
              <w:t xml:space="preserve">Letter of intent </w:t>
            </w:r>
            <w:r>
              <w:rPr>
                <w:b/>
                <w:sz w:val="24"/>
                <w:szCs w:val="24"/>
              </w:rPr>
              <w:t>to include</w:t>
            </w:r>
            <w:r w:rsidR="006021B6">
              <w:rPr>
                <w:b/>
                <w:sz w:val="24"/>
                <w:szCs w:val="24"/>
              </w:rPr>
              <w:t>/ attest to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all of the following:</w:t>
            </w:r>
          </w:p>
          <w:p w:rsidR="00A40792" w:rsidRPr="005F2BB1" w:rsidRDefault="00A40792" w:rsidP="005F2BB1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 w:rsidRPr="005F2BB1">
              <w:rPr>
                <w:b/>
                <w:sz w:val="24"/>
                <w:szCs w:val="24"/>
              </w:rPr>
              <w:t>Prior to the effective date of the closure or cessation of</w:t>
            </w:r>
          </w:p>
          <w:p w:rsidR="00A40792" w:rsidRPr="00463672" w:rsidRDefault="00A40792" w:rsidP="005F2BB1">
            <w:pPr>
              <w:pStyle w:val="TableParagraph"/>
              <w:spacing w:line="223" w:lineRule="exact"/>
              <w:rPr>
                <w:b/>
                <w:sz w:val="24"/>
                <w:szCs w:val="24"/>
                <w:highlight w:val="yellow"/>
              </w:rPr>
            </w:pPr>
            <w:r w:rsidRPr="005F2BB1">
              <w:rPr>
                <w:b/>
                <w:sz w:val="24"/>
                <w:szCs w:val="24"/>
              </w:rPr>
              <w:t>business, the BHS provider shall:</w:t>
            </w:r>
          </w:p>
        </w:tc>
        <w:tc>
          <w:tcPr>
            <w:tcW w:w="540" w:type="dxa"/>
          </w:tcPr>
          <w:p w:rsidR="00A40792" w:rsidRDefault="00A40792" w:rsidP="006D7111">
            <w:pPr>
              <w:pStyle w:val="TableParagraph"/>
              <w:rPr>
                <w:noProof/>
                <w:position w:val="-3"/>
                <w:sz w:val="20"/>
                <w:lang w:bidi="ar-SA"/>
              </w:rPr>
            </w:pPr>
            <w:r>
              <w:rPr>
                <w:noProof/>
                <w:position w:val="-3"/>
                <w:sz w:val="20"/>
                <w:lang w:bidi="ar-SA"/>
              </w:rPr>
              <w:t>YES</w:t>
            </w:r>
          </w:p>
        </w:tc>
        <w:tc>
          <w:tcPr>
            <w:tcW w:w="540" w:type="dxa"/>
          </w:tcPr>
          <w:p w:rsidR="00A40792" w:rsidRDefault="00A40792" w:rsidP="006D7111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  <w:r>
              <w:rPr>
                <w:noProof/>
                <w:position w:val="-3"/>
                <w:sz w:val="20"/>
                <w:lang w:bidi="ar-SA"/>
              </w:rPr>
              <w:t>NO</w:t>
            </w: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D554E0">
            <w:pPr>
              <w:rPr>
                <w:b/>
              </w:rPr>
            </w:pPr>
            <w:r w:rsidRPr="005F2BB1">
              <w:rPr>
                <w:rFonts w:ascii="Calibri" w:hAnsi="Calibri" w:cs="Calibri"/>
              </w:rPr>
              <w:t xml:space="preserve">1. </w:t>
            </w:r>
            <w:proofErr w:type="spellStart"/>
            <w:r w:rsidRPr="005F2BB1">
              <w:rPr>
                <w:rFonts w:ascii="Calibri" w:hAnsi="Calibri" w:cs="Calibri"/>
              </w:rPr>
              <w:t>Give</w:t>
            </w:r>
            <w:proofErr w:type="spellEnd"/>
            <w:r w:rsidRPr="005F2BB1">
              <w:rPr>
                <w:rFonts w:ascii="Calibri" w:hAnsi="Calibri" w:cs="Calibri"/>
              </w:rPr>
              <w:t xml:space="preserve"> 30 </w:t>
            </w:r>
            <w:proofErr w:type="spellStart"/>
            <w:r w:rsidRPr="005F2BB1">
              <w:rPr>
                <w:rFonts w:ascii="Calibri" w:hAnsi="Calibri" w:cs="Calibri"/>
              </w:rPr>
              <w:t>days</w:t>
            </w:r>
            <w:proofErr w:type="spellEnd"/>
            <w:r w:rsidRPr="005F2BB1">
              <w:rPr>
                <w:rFonts w:ascii="Calibri" w:hAnsi="Calibri" w:cs="Calibri"/>
              </w:rPr>
              <w:t xml:space="preserve"> advance written notice </w:t>
            </w:r>
            <w:r w:rsidR="00D554E0">
              <w:rPr>
                <w:rFonts w:ascii="Calibri" w:hAnsi="Calibri" w:cs="Calibri"/>
              </w:rPr>
              <w:t>to</w:t>
            </w:r>
            <w:r w:rsidRPr="005F2BB1">
              <w:rPr>
                <w:rFonts w:ascii="Calibri" w:hAnsi="Calibri" w:cs="Calibri"/>
              </w:rPr>
              <w:t>:</w:t>
            </w:r>
          </w:p>
        </w:tc>
        <w:tc>
          <w:tcPr>
            <w:tcW w:w="540" w:type="dxa"/>
          </w:tcPr>
          <w:p w:rsidR="00A40792" w:rsidRDefault="00A40792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540" w:type="dxa"/>
          </w:tcPr>
          <w:p w:rsidR="00A40792" w:rsidRDefault="00A40792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D35E3E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>a. HSS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:rsidR="00A40792" w:rsidRDefault="00A40792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540" w:type="dxa"/>
          </w:tcPr>
          <w:p w:rsidR="00A40792" w:rsidRDefault="00A40792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5F2BB1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 xml:space="preserve">b. 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5F2BB1">
              <w:rPr>
                <w:rFonts w:ascii="Calibri" w:hAnsi="Calibri" w:cs="Calibri"/>
                <w:sz w:val="24"/>
                <w:szCs w:val="24"/>
              </w:rPr>
              <w:t>he prescribing physician,</w:t>
            </w:r>
          </w:p>
        </w:tc>
        <w:tc>
          <w:tcPr>
            <w:tcW w:w="540" w:type="dxa"/>
          </w:tcPr>
          <w:p w:rsidR="00A40792" w:rsidRDefault="00A40792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proofErr w:type="gramStart"/>
            <w:r w:rsidRPr="005F2BB1">
              <w:rPr>
                <w:sz w:val="24"/>
                <w:szCs w:val="24"/>
              </w:rPr>
              <w:t>c</w:t>
            </w:r>
            <w:proofErr w:type="gramEnd"/>
            <w:r w:rsidRPr="005F2BB1">
              <w:rPr>
                <w:sz w:val="24"/>
                <w:szCs w:val="24"/>
              </w:rPr>
              <w:t>. the client, legal guardian or legal representative, if applicable, of each client.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474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>2. Provide for an orderly discharge and transition of all of the clients in accordance with the provisions of this Chapter.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455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 xml:space="preserve">F. </w:t>
            </w:r>
            <w:r w:rsidRPr="00D554E0">
              <w:rPr>
                <w:rFonts w:ascii="Calibri" w:hAnsi="Calibri" w:cs="Calibri"/>
                <w:b/>
                <w:sz w:val="24"/>
                <w:szCs w:val="24"/>
              </w:rPr>
              <w:t xml:space="preserve">In addition to the advance notice of voluntary closure, the BHS provider shall submit a written plan for the disposition of client medical records for approval by the department. The plan shall include the following: 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463672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>1. The effective date of the voluntary closure.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>2. Provisions that comply with federal and state laws on storage, maintenance, access, and confidentiality of the closed provider’s clients ' medical records.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 xml:space="preserve">3. An appointed custodian(s) who shall provide the following: </w:t>
            </w:r>
            <w:r w:rsidR="00400916">
              <w:rPr>
                <w:rFonts w:ascii="Calibri" w:hAnsi="Calibri" w:cs="Calibri"/>
                <w:sz w:val="24"/>
                <w:szCs w:val="24"/>
              </w:rPr>
              <w:t>(</w:t>
            </w:r>
            <w:r w:rsidR="00400916" w:rsidRPr="00D554E0">
              <w:rPr>
                <w:rFonts w:ascii="Calibri" w:hAnsi="Calibri" w:cs="Calibri"/>
                <w:sz w:val="24"/>
                <w:szCs w:val="24"/>
                <w:highlight w:val="yellow"/>
              </w:rPr>
              <w:t>Provide name, phone, email and address)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>a. Access to records and copies of records to the client or authorized representative, upon presentation of proper authorization(s).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>b. Physical and environmental security that protects the records against fire, water, intrusion, unauthorized access, loss and destruction</w:t>
            </w:r>
            <w:r w:rsidR="0040091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971"/>
        </w:trPr>
        <w:tc>
          <w:tcPr>
            <w:tcW w:w="8959" w:type="dxa"/>
          </w:tcPr>
          <w:p w:rsidR="00A40792" w:rsidRPr="005F2BB1" w:rsidRDefault="00A40792" w:rsidP="005F2BB1">
            <w:pPr>
              <w:rPr>
                <w:sz w:val="24"/>
                <w:szCs w:val="24"/>
              </w:rPr>
            </w:pPr>
            <w:r w:rsidRPr="005F2BB1">
              <w:rPr>
                <w:rFonts w:ascii="Calibri" w:hAnsi="Calibri" w:cs="Calibri"/>
                <w:sz w:val="24"/>
                <w:szCs w:val="24"/>
              </w:rPr>
              <w:t xml:space="preserve">4. Public notice regarding access to records, </w:t>
            </w:r>
            <w:proofErr w:type="gramStart"/>
            <w:r w:rsidRPr="005F2BB1">
              <w:rPr>
                <w:rFonts w:ascii="Calibri" w:hAnsi="Calibri" w:cs="Calibri"/>
                <w:sz w:val="24"/>
                <w:szCs w:val="24"/>
              </w:rPr>
              <w:t>in the newspaper with the largest circulation in close proximity to the closing provider,</w:t>
            </w:r>
            <w:proofErr w:type="gramEnd"/>
            <w:r w:rsidRPr="005F2BB1">
              <w:rPr>
                <w:rFonts w:ascii="Calibri" w:hAnsi="Calibri" w:cs="Calibri"/>
                <w:sz w:val="24"/>
                <w:szCs w:val="24"/>
              </w:rPr>
              <w:t xml:space="preserve"> at least 15 days prior to the effective date of closure. </w:t>
            </w:r>
            <w:r w:rsidR="00400916" w:rsidRPr="00D554E0">
              <w:rPr>
                <w:rFonts w:ascii="Calibri" w:hAnsi="Calibri" w:cs="Calibri"/>
                <w:sz w:val="24"/>
                <w:szCs w:val="24"/>
                <w:highlight w:val="yellow"/>
              </w:rPr>
              <w:t>(Provide name of newspaper)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300527">
            <w:pPr>
              <w:rPr>
                <w:sz w:val="24"/>
                <w:szCs w:val="24"/>
              </w:rPr>
            </w:pPr>
            <w:r w:rsidRPr="005F2BB1">
              <w:rPr>
                <w:b/>
                <w:sz w:val="24"/>
                <w:szCs w:val="24"/>
              </w:rPr>
              <w:t>Please email all documents (Except actual payment as noted above) to</w:t>
            </w:r>
            <w:r w:rsidRPr="005F2BB1">
              <w:rPr>
                <w:sz w:val="24"/>
                <w:szCs w:val="24"/>
              </w:rPr>
              <w:t xml:space="preserve">: </w:t>
            </w:r>
            <w:hyperlink r:id="rId6" w:history="1">
              <w:r w:rsidRPr="005F2BB1">
                <w:rPr>
                  <w:rStyle w:val="Hyperlink"/>
                  <w:sz w:val="24"/>
                  <w:szCs w:val="24"/>
                </w:rPr>
                <w:t>HSS-BHSProviders@la.gov</w:t>
              </w:r>
            </w:hyperlink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5F2BB1" w:rsidRDefault="00A40792" w:rsidP="004D0F6D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4"/>
        </w:trPr>
        <w:tc>
          <w:tcPr>
            <w:tcW w:w="8959" w:type="dxa"/>
          </w:tcPr>
          <w:p w:rsidR="00A40792" w:rsidRPr="00400916" w:rsidRDefault="00400916" w:rsidP="00FB5C49">
            <w:pPr>
              <w:rPr>
                <w:b/>
                <w:i/>
                <w:sz w:val="24"/>
                <w:szCs w:val="24"/>
                <w:u w:val="single"/>
              </w:rPr>
            </w:pPr>
            <w:r w:rsidRPr="00D554E0">
              <w:rPr>
                <w:b/>
                <w:i/>
                <w:sz w:val="24"/>
                <w:szCs w:val="24"/>
                <w:highlight w:val="yellow"/>
                <w:u w:val="single"/>
              </w:rPr>
              <w:t>SO notify OBH upon completion.</w:t>
            </w:r>
            <w:r w:rsidRPr="0040091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A40792" w:rsidTr="00A40792">
        <w:trPr>
          <w:trHeight w:val="263"/>
        </w:trPr>
        <w:tc>
          <w:tcPr>
            <w:tcW w:w="8959" w:type="dxa"/>
          </w:tcPr>
          <w:p w:rsidR="00A40792" w:rsidRPr="00DF2EE2" w:rsidRDefault="00A40792" w:rsidP="004D0F6D"/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A40792" w:rsidRDefault="00A40792" w:rsidP="004D0F6D">
            <w:pPr>
              <w:pStyle w:val="TableParagraph"/>
              <w:ind w:left="137"/>
              <w:rPr>
                <w:sz w:val="20"/>
              </w:rPr>
            </w:pPr>
          </w:p>
        </w:tc>
      </w:tr>
    </w:tbl>
    <w:p w:rsidR="00F05DBF" w:rsidRDefault="00F05DBF">
      <w:pPr>
        <w:rPr>
          <w:b/>
          <w:sz w:val="24"/>
        </w:rPr>
      </w:pPr>
    </w:p>
    <w:p w:rsidR="00F05DBF" w:rsidRDefault="00F05DBF">
      <w:pPr>
        <w:rPr>
          <w:b/>
          <w:sz w:val="24"/>
        </w:rPr>
      </w:pPr>
    </w:p>
    <w:p w:rsidR="00F05DBF" w:rsidRDefault="00F05DBF">
      <w:pPr>
        <w:spacing w:before="9"/>
        <w:rPr>
          <w:b/>
          <w:sz w:val="35"/>
        </w:rPr>
      </w:pPr>
    </w:p>
    <w:p w:rsidR="00F05DBF" w:rsidRDefault="00F30E84">
      <w:pPr>
        <w:ind w:left="920"/>
        <w:rPr>
          <w:i/>
          <w:sz w:val="20"/>
        </w:rPr>
      </w:pPr>
      <w:r>
        <w:rPr>
          <w:i/>
          <w:sz w:val="20"/>
        </w:rPr>
        <w:t>HSS-BH-INITIAL Provider Checklist (</w:t>
      </w:r>
      <w:r w:rsidR="001B4246">
        <w:rPr>
          <w:i/>
          <w:sz w:val="20"/>
        </w:rPr>
        <w:t>12</w:t>
      </w:r>
      <w:r>
        <w:rPr>
          <w:i/>
          <w:sz w:val="20"/>
        </w:rPr>
        <w:t>/2024)</w:t>
      </w:r>
    </w:p>
    <w:p w:rsidR="00F05DBF" w:rsidRDefault="00F05DBF">
      <w:pPr>
        <w:rPr>
          <w:i/>
        </w:rPr>
      </w:pPr>
    </w:p>
    <w:p w:rsidR="00F05DBF" w:rsidRDefault="00F05DBF">
      <w:pPr>
        <w:spacing w:before="7"/>
        <w:rPr>
          <w:i/>
          <w:sz w:val="18"/>
        </w:rPr>
      </w:pPr>
    </w:p>
    <w:p w:rsidR="00F05DBF" w:rsidRDefault="00F30E84">
      <w:pPr>
        <w:pStyle w:val="BodyText"/>
        <w:ind w:left="4739"/>
      </w:pPr>
      <w:r>
        <w:t>Health Standards Section</w:t>
      </w:r>
    </w:p>
    <w:p w:rsidR="00F05DBF" w:rsidRDefault="00CB7E69">
      <w:pPr>
        <w:pStyle w:val="BodyText"/>
        <w:ind w:left="4051" w:right="3054" w:hanging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220345</wp:posOffset>
                </wp:positionV>
                <wp:extent cx="25400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6147F" id="Rectangle 2" o:spid="_x0000_s1026" style="position:absolute;margin-left:383.95pt;margin-top:17.35pt;width:2pt;height: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F30E84">
        <w:t>P.O. Box 3767 • Baton Rouge, Louisiana 70821-3767 Phone #: 225/342-0138 • Fax #: 225/342</w:t>
      </w:r>
      <w:hyperlink r:id="rId7">
        <w:r w:rsidR="00F30E84">
          <w:t>-5073</w:t>
        </w:r>
      </w:hyperlink>
    </w:p>
    <w:p w:rsidR="00F05DBF" w:rsidRDefault="00BB6365">
      <w:pPr>
        <w:pStyle w:val="BodyText"/>
        <w:ind w:left="4958"/>
      </w:pPr>
      <w:hyperlink r:id="rId8">
        <w:r w:rsidR="00F30E84">
          <w:rPr>
            <w:color w:val="0000FF"/>
            <w:u w:val="single" w:color="0000FF"/>
          </w:rPr>
          <w:t>http://ldh.la.gov/</w:t>
        </w:r>
      </w:hyperlink>
    </w:p>
    <w:sectPr w:rsidR="00F05DBF">
      <w:type w:val="continuous"/>
      <w:pgSz w:w="12240" w:h="15840"/>
      <w:pgMar w:top="720" w:right="13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907"/>
    <w:multiLevelType w:val="hybridMultilevel"/>
    <w:tmpl w:val="EE22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0E72"/>
    <w:multiLevelType w:val="hybridMultilevel"/>
    <w:tmpl w:val="9980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51AD"/>
    <w:multiLevelType w:val="hybridMultilevel"/>
    <w:tmpl w:val="0ED2F2BA"/>
    <w:lvl w:ilvl="0" w:tplc="3DF2E37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41AF2A87"/>
    <w:multiLevelType w:val="hybridMultilevel"/>
    <w:tmpl w:val="D2A2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24062"/>
    <w:rsid w:val="00067223"/>
    <w:rsid w:val="00091BF3"/>
    <w:rsid w:val="001B4246"/>
    <w:rsid w:val="001C0791"/>
    <w:rsid w:val="001E4AC8"/>
    <w:rsid w:val="002D2C3D"/>
    <w:rsid w:val="00300527"/>
    <w:rsid w:val="00400916"/>
    <w:rsid w:val="00463672"/>
    <w:rsid w:val="004A1070"/>
    <w:rsid w:val="004D0F6D"/>
    <w:rsid w:val="004F2826"/>
    <w:rsid w:val="004F7E4F"/>
    <w:rsid w:val="00523CA0"/>
    <w:rsid w:val="005B4E17"/>
    <w:rsid w:val="005F2BB1"/>
    <w:rsid w:val="006021B6"/>
    <w:rsid w:val="006D7111"/>
    <w:rsid w:val="00721341"/>
    <w:rsid w:val="00951E94"/>
    <w:rsid w:val="00A40792"/>
    <w:rsid w:val="00A81E06"/>
    <w:rsid w:val="00AE13FE"/>
    <w:rsid w:val="00BB4070"/>
    <w:rsid w:val="00BB6365"/>
    <w:rsid w:val="00C16125"/>
    <w:rsid w:val="00C872B6"/>
    <w:rsid w:val="00CB7E69"/>
    <w:rsid w:val="00D06FC1"/>
    <w:rsid w:val="00D35E3E"/>
    <w:rsid w:val="00D554E0"/>
    <w:rsid w:val="00DE04D5"/>
    <w:rsid w:val="00E03D2D"/>
    <w:rsid w:val="00E23511"/>
    <w:rsid w:val="00E470DF"/>
    <w:rsid w:val="00EB1B22"/>
    <w:rsid w:val="00F05DBF"/>
    <w:rsid w:val="00F30E84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D1CD"/>
  <w15:docId w15:val="{936871F4-88CC-41D0-9937-4E30EF8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7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4D0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F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25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h.l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dh.l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00126486\Documents\Behavioral%20Health\HSS-BHSProviders@la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BHSP_updated_cheklist2020JV</vt:lpstr>
    </vt:vector>
  </TitlesOfParts>
  <Company>State of Louisiana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BHSP_updated_cheklist2020JV</dc:title>
  <dc:creator>ddavis10</dc:creator>
  <cp:lastModifiedBy>Rickie Callegan</cp:lastModifiedBy>
  <cp:revision>5</cp:revision>
  <cp:lastPrinted>2024-12-11T14:56:00Z</cp:lastPrinted>
  <dcterms:created xsi:type="dcterms:W3CDTF">2025-02-12T14:55:00Z</dcterms:created>
  <dcterms:modified xsi:type="dcterms:W3CDTF">2025-02-12T15:25:00Z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