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MEADOWWOOD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LA1017063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MEADOWWOOD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LA1017063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MEADOWWOOD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0.53 - 1.81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10361 MEADOW VIEW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10484 MEADOW 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10361 MEADOW VIEW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10484 MEADOW 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6.31 - 6.43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MEADOWWOOD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