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 E S T C</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LA1033132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 E S T 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LA1033132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J.E.S.T.C.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J.E.S.T.C.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PERRY</w:t>
                  </w:r>
                  <w:r>
                    <w:rPr>
                      <w:rFonts w:ascii="Calibri" w:hAnsi="Calibri" w:eastAsia="Calibri"/>
                      <w:color w:val="000000"/>
                      <w:sz w:val="22"/>
                    </w:rPr>
                    <w:t xml:space="preserve"> at  </w:t>
                  </w:r>
                  <w:r>
                    <w:rPr>
                      <w:rFonts w:ascii="Calibri" w:hAnsi="Calibri" w:eastAsia="Calibri"/>
                      <w:color w:val="000000"/>
                      <w:sz w:val="22"/>
                    </w:rPr>
                    <w:t xml:space="preserve">225-658-7204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 E S T 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0.74 - 1.36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JESTC EAST END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JESTC WEST END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JESTC EAST END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 E S T 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