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BADGER TRAIL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LA1045042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BADGER TRAIL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BRANDON BREAUX</w:t>
                  </w:r>
                  <w:r>
                    <w:rPr>
                      <w:rFonts w:ascii="Calibri" w:hAnsi="Calibri" w:eastAsia="Calibri"/>
                      <w:color w:val="000000"/>
                      <w:sz w:val="22"/>
                    </w:rPr>
                    <w:t xml:space="preserve"> at  </w:t>
                  </w:r>
                  <w:r>
                    <w:rPr>
                      <w:rFonts w:ascii="Calibri" w:hAnsi="Calibri" w:eastAsia="Calibri"/>
                      <w:color w:val="000000"/>
                      <w:sz w:val="22"/>
                    </w:rPr>
                    <w:t xml:space="preserve">337-789-5447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BADGER TRAIL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INITIAL TAP SAMPLING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5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2.09 - 2.53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0.57 - 0.66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6.06 - 6.8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20MN15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BADGER TRAIL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