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GRAMBLING STATE UNIVERSITY WS</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LA1061005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GRAMBLING STATE UNIVERSITY WS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LA1061005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NO. 4</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NO. 5</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NO. 7</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RICHARD J GALLOT, JR.</w:t>
                  </w:r>
                  <w:r>
                    <w:rPr>
                      <w:rFonts w:ascii="Calibri" w:hAnsi="Calibri" w:eastAsia="Calibri"/>
                      <w:color w:val="000000"/>
                      <w:sz w:val="22"/>
                    </w:rPr>
                    <w:t xml:space="preserve"> at  </w:t>
                  </w:r>
                  <w:r>
                    <w:rPr>
                      <w:rFonts w:ascii="Calibri" w:hAnsi="Calibri" w:eastAsia="Calibri"/>
                      <w:color w:val="000000"/>
                      <w:sz w:val="22"/>
                    </w:rPr>
                    <w:t xml:space="preserve">318-274-6117</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GRAMBLING STATE UNIVERSITY WS</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6/30/2023 - 6/21/2023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CONSUMER CONFIDENCE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CCR REPORT</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12/1/2023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&amp; COPPER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CONSUMER NOTICE (LCR)</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7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0.5 - 2.3</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96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0 - 1.72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0 - 1.37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110 WILLIAMS ST - LAB SCHOOL</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2.21 - 3.6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148 COLE ST - ALMA J. BROWN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0.49 - 2.8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110 WILLIAMS ST - LAB SCHOOL</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6.5 - 10.2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148 COLE ST - ALMA J. BROWN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0.08 - 0.16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6.47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5.75 - 6.47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15 - 21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0.07 - 0.23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GRAMBLING STATE UNIVERSITY WS</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