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NEWELLTON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LA1107003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NEWELLTON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LA1107003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BRUIN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TIMOTHY TURNER</w:t>
                  </w:r>
                  <w:r>
                    <w:rPr>
                      <w:rFonts w:ascii="Calibri" w:hAnsi="Calibri" w:eastAsia="Calibri"/>
                      <w:color w:val="000000"/>
                      <w:sz w:val="22"/>
                    </w:rPr>
                    <w:t xml:space="preserve"> at  </w:t>
                  </w:r>
                  <w:r>
                    <w:rPr>
                      <w:rFonts w:ascii="Calibri" w:hAnsi="Calibri" w:eastAsia="Calibri"/>
                      <w:color w:val="000000"/>
                      <w:sz w:val="22"/>
                    </w:rPr>
                    <w:t xml:space="preserve">318-467-5051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NEWELLTON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DBP PRECURSOR REMOVAL</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5/31/2023 - 7/30/2023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5/31/2023 - 6/29/2023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(DBP),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6/30/2023 - 7/30/2023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(DBP),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DBP PRECURSOR REMOVAL</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7/31/2023 - 8/30/2023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(DBP),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8/31/2023 - 9/29/2023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(DBP),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(DBP),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10/31/2023 - 11/29/2023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TO REPORT REQUIRED MOR ELEMENTS</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10/31/2023 - 11/29/2023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CARBON, TOTAL</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(DBP), MAJOR</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0.5 - 2.91</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0.79 - 3.2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 POINT DRIVE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6.5 - 101.1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 MELTON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10.2 - 104.1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 POINT DRIVE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27.7 - 115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 MELTON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31.7 - 122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0.18 - 0.64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372"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7/29/2018</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AO-ENFORCEMENT CORRECTIVE ACTION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6/12/2019</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48:V.21.7303.B - Operator Class Level and Availability; 40 CFR 141.403 and LAC 48:V.21.7303.B - The Operator of any public water system or any community sewerage system shall hold current and valid professional certification(s) of the required category(s) at or above the level required for the total system and individual facility. Additionally, an operator shall demonstrate that, when not actually on site at the facility, he is capable of responding to that location within one hour of being notified that his presence is needed.;107</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7/29/2018</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4/29/2020</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BRUIN INTAKE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TRANSFER PUMPS</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0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17"/>
            </w:tblGrid>
            <w:tr>
              <w:trPr>
                <w:trHeight w:val="282" w:hRule="atLeast"/>
              </w:trPr>
              <w:tc>
                <w:tcPr>
                  <w:tcW w:w="931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1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NEWELLTON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