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SHREVEPORT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LA1017031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211"/>
        <w:gridCol w:w="659"/>
        <w:gridCol w:w="7195"/>
        <w:gridCol w:w="94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SHREVEPORT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LA1017031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CROSS LAKE SURFACE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 ARCENEAUX</w:t>
                  </w:r>
                  <w:r>
                    <w:rPr>
                      <w:rFonts w:ascii="Calibri" w:hAnsi="Calibri" w:eastAsia="Calibri"/>
                      <w:color w:val="000000"/>
                      <w:sz w:val="22"/>
                    </w:rPr>
                    <w:t xml:space="preserve"> at  </w:t>
                  </w:r>
                  <w:r>
                    <w:rPr>
                      <w:rFonts w:ascii="Calibri" w:hAnsi="Calibri" w:eastAsia="Calibri"/>
                      <w:color w:val="000000"/>
                      <w:sz w:val="22"/>
                    </w:rPr>
                    <w:t xml:space="preserve">318-673-5050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82" w:hRule="atLeast"/>
              </w:trPr>
              <w:tc>
                <w:tcPr>
                  <w:tcW w:w="3020"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02"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577"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0.04 - 5.6</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10439 KINGSTON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2 - 26.5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400 HOMALOT@BITT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12.6 - 36.6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4200 REILY LANE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14.3 - 39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4575 N MARKET @ FS2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10.7 - 43.8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6600 LONGTIMBERS @ KINGFISH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14.3 - 38.2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6900 RICE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5.4 - 41.8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LONGLAKE @ OVERTON BROOKS</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11 - 35.3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NORRIS FERRY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13.8 - 36.3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10439 KINGSTON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13.5 - 36.7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400 HOMALOT@BITT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13 - 38.6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4200 REILY LANE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12.9 - 84.9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4575 N MARKET @ FS2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13.5 - 68.3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6600 LONGTIMBERS @ KINGFISH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13.1 - 74.4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6900 RICE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13.2 - 35.3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LONGLAKE @ OVERTON BROOKS</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12.8 - 79.8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NORRIS FERRY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12 - 37.9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446"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ST. VINCENT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ST. VINCENT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ST. VINCENT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3/31/2027</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ST. VINCENT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20ST27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 No drain on a water storage structure shall have a direct connection to a sewer or storm drain. The design shall allow draining the storage facility for cleaning or maintenance without causing loss of pressure in the distribution system.;</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ST. VINCENT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20ST27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 No drain on a water storage structure shall have a direct connection to a sewer or storm drain. The design shall allow draining the storage facility for cleaning or maintenance without causing loss of pressure in the distribution system.;</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#1 ST. VINCENT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20ST27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3/31/2027</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 No drain on a water storage structure shall have a direct connection to a sewer or storm drain. The design shall allow draining the storage facility for cleaning or maintenance without causing loss of pressure in the distribution system.;</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#3 @ W. 70TH AND RICE ROAD</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#3 @ W. 70TH AND RICE ROAD</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EST #3 @ W. 70TH AND RICE ROAD</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3/31/2026</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#4 @ W. 70TH AND PINE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#4 @ W. 70TH AND PINE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#4 @ W. 70TH AND PINE</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I-49 AND INNER LOOP PUMP STATION</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I-49 AND INNER LOOP PUMP STATION</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9/28/2021</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I-49 AND INNER LOOP PUMP STATION</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5/6/2025</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SHREVEPORT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SHREVEPORT WATER SYSTEM</w:t>
                  </w:r>
                  <w:r>
                    <w:rPr>
                      <w:rFonts w:ascii="Calibri" w:hAnsi="Calibri" w:eastAsia="Calibri"/>
                      <w:color w:val="000000"/>
                      <w:sz w:val="22"/>
                    </w:rPr>
                    <w:t xml:space="preserve"> and </w:t>
                  </w:r>
                  <w:r>
                    <w:rPr>
                      <w:rFonts w:ascii="Calibri" w:hAnsi="Calibri" w:eastAsia="Calibri"/>
                      <w:color w:val="000000"/>
                      <w:sz w:val="22"/>
                    </w:rPr>
                    <w:t xml:space="preserve">TOM ARCENEAUX BUS Phone: 318-673-5050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SHREVEPORT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94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94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