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POWHATAN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LA1069008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360"/>
        <w:gridCol w:w="31"/>
        <w:gridCol w:w="659"/>
        <w:gridCol w:w="7654"/>
        <w:gridCol w:w="25"/>
        <w:gridCol w:w="601"/>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POWHATAN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LA1069008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CONNECTION TO SABINE #1 WS LA1085036</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CONNECTION TO SABINE #1 WS LA1085036</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 NEAREST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 WEST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NO 4</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601"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WALTER MAINS</w:t>
                  </w:r>
                  <w:r>
                    <w:rPr>
                      <w:rFonts w:ascii="Calibri" w:hAnsi="Calibri" w:eastAsia="Calibri"/>
                      <w:color w:val="000000"/>
                      <w:sz w:val="22"/>
                    </w:rPr>
                    <w:t xml:space="preserve"> at  </w:t>
                  </w:r>
                  <w:r>
                    <w:rPr>
                      <w:rFonts w:ascii="Calibri" w:hAnsi="Calibri" w:eastAsia="Calibri"/>
                      <w:color w:val="000000"/>
                      <w:sz w:val="22"/>
                    </w:rPr>
                    <w:t xml:space="preserve">318-256-6489</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8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0.06 - 1.96</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ANTIMONY, TOTAL</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0 - 3.6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from petroleum refineries; fire retardants; ceramics; electronics;solder</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BARIUM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5/8/2023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0 - 0.22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of drilling wastes; Discharge from metal refineries; 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CHROMIUM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7.3 - 14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from steel and pulp mills; 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7/5/2020</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0.047</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URANIUM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0 - 3.8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µg/l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ALPHA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5.78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5.72 - 5.78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ALPHA, EXCL. RADON &amp; U</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7/5/2020</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3.54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3.54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2.84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0 - 2.84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HWY 485 @ GOOCH COMMUNITY CENTER</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6.8 - 22.4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HWY 562 AND HWY 485</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6 - 12.1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HWY 485 @ GOOCH COMMUNITY CENTER</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12.4 - 63.6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HWY 562 AND HWY 485</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59</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9.9 - 66.7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0 - 5.18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35 - 37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1.9 - 2.1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0.03 - 0.48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8.78 - 8.8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1.2 - 1.4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365.2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216 - 365.2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106 - 109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8/6/2024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8/6/2024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SILVER</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8/6/2024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8/6/2024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140.5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25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051"/>
              <w:gridCol w:w="1574"/>
              <w:gridCol w:w="674"/>
              <w:gridCol w:w="2237"/>
              <w:gridCol w:w="1404"/>
              <w:gridCol w:w="2405"/>
            </w:tblGrid>
            <w:tr>
              <w:trPr>
                <w:trHeight w:val="446" w:hRule="atLeast"/>
              </w:trPr>
              <w:tc>
                <w:tcPr>
                  <w:tcW w:w="1051" w:type="dxa"/>
                  <w:hMerge w:val="restart"/>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18"/>
                    </w:rPr>
                    <w:t xml:space="preserve">Unresolved significant deficiencies that were identified during a survey done on the water system are shown below.</w:t>
                  </w:r>
                </w:p>
              </w:tc>
              <w:tc>
                <w:tcPr>
                  <w:tcW w:w="15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6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237"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140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405" w:type="dxa"/>
                  <w:hMerge w:val="continue"/>
                  <w:tcBorders>
                    <w:top w:val="single" w:color="808080" w:sz="7"/>
                    <w:left w:val="nil"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r>
              <w:trPr>
                <w:trHeight w:val="435" w:hRule="atLeast"/>
              </w:trPr>
              <w:tc>
                <w:tcPr>
                  <w:tcW w:w="105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 Identified</w:t>
                  </w:r>
                </w:p>
              </w:tc>
              <w:tc>
                <w:tcPr>
                  <w:tcW w:w="15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Facility</w:t>
                  </w:r>
                </w:p>
              </w:tc>
              <w:tc>
                <w:tcPr>
                  <w:tcW w:w="6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Code</w:t>
                  </w:r>
                </w:p>
              </w:tc>
              <w:tc>
                <w:tcPr>
                  <w:tcW w:w="223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Activity</w:t>
                  </w:r>
                </w:p>
              </w:tc>
              <w:tc>
                <w:tcPr>
                  <w:tcW w:w="140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Due Date</w:t>
                  </w:r>
                </w:p>
              </w:tc>
              <w:tc>
                <w:tcPr>
                  <w:tcW w:w="24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Description</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9/24/2019</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DISTRIBUTION SYSTEM</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CC17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10/27/2020</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51:XII.344 - Protection of Water Supply/Containment Practices; 40 CFR 141.403 and LAC 51:XII.344 - Each water supplier shall protect the water produced and distributed by its water supply system from potential contamination by ensuring compliance with the containment practices and maintenance/field testing requirements.  In implementing ordinances, rules, contracts, policies, or other steps to achieve such compliance, water suppliers shall have the authority to prohibit or discontinue water service to customers who fail to install, maintain, field test, or report the results of the field test for containment assemblies or methods.;30</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9/24/2019</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SYSTEM</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MG57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10/27/2020</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Approval of Construction or Modification; No public water supply shall be hereafter constructed, operated or modified to the extent that the capacity, hydraulic conditions, functioning of treatment processes, or the quality of finished water is affected, without, and except in accordance with the plans and specifications for the installation which have been approved, in advance, as part of a permit submitted by the person having responsible charge of a municipality owned public water supply or by the owner of a privately owned public water supply. The permit shall be issued by the state health officer prior to the start of such construction or modification.;143</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 WEST WELL</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20SO38E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2/15/2022</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51:XII.319.D.7 - There shall be no pathway for contamination into the well casing or discharge piping. The well slab shall be maintained to prevent the introduction of contamination into the well casing and discharge piping.;</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 WEST WELL</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20SO38E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APPROVED CORRECTIVE ACTION PLAN</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2/2/2023</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51:XII.319.D.7 - There shall be no pathway for contamination into the well casing or discharge piping. The well slab shall be maintained to prevent the introduction of contamination into the well casing and discharge piping.;</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3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POWHATAN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POWHATAN WATER SYSTEM</w:t>
                  </w:r>
                  <w:r>
                    <w:rPr>
                      <w:rFonts w:ascii="Calibri" w:hAnsi="Calibri" w:eastAsia="Calibri"/>
                      <w:color w:val="000000"/>
                      <w:sz w:val="22"/>
                    </w:rPr>
                    <w:t xml:space="preserve"> and </w:t>
                  </w:r>
                  <w:r>
                    <w:rPr>
                      <w:rFonts w:ascii="Calibri" w:hAnsi="Calibri" w:eastAsia="Calibri"/>
                      <w:color w:val="000000"/>
                      <w:sz w:val="22"/>
                    </w:rPr>
                    <w:t xml:space="preserve">WALTER MAINS BUS Phone: 318-256-6489</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Coliforms are bacteria that are naturally present in the environment and are used as an indicator that other, potentially-harmful, bacteria may be present.  Coliforms were found in more samples than allowed and this was a warning of potential problems.     </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arsenic in excess of the MCL over many years could experience skin damage or problems with their circulatory system, and may have an increased risk of getting cancer. </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trihalomethanes in excess of the MCL over many years may experience problems with their liver, kidneys, or central nervous systems, and may have an increased risk of getting cancer. </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While your drinking water meets EPA's standard for arsenic, it does contain low levels of arsenic. EPA's standard balances the current understanding of arsenic's possible health effects against the costs of removing arsenic from drinking water. EPA continues to research the health effects of low levels of arsenic which is a mineral known to cause cancer in humans at high concentrations and is linked to other health effects such as skin damage and circulatory problems.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8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24" w:hRule="atLeast"/>
        </w:trPr>
        <w:tc>
          <w:tcPr>
            <w:tcW w:w="6" w:type="dxa"/>
            <w:hMerge w:val="restart"/>
          </w:tcPr>
          <w:tbl>
            <w:tblPr>
              <w:tblLayout w:type="fixed"/>
              <w:tblCellMar>
                <w:top w:w="0" w:type="dxa"/>
                <w:left w:w="0" w:type="dxa"/>
                <w:bottom w:w="0" w:type="dxa"/>
                <w:right w:w="0" w:type="dxa"/>
              </w:tblCellMar>
            </w:tblPr>
            <w:tblGrid>
              <w:gridCol w:w="9346"/>
            </w:tblGrid>
            <w:tr>
              <w:trPr>
                <w:trHeight w:val="246"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We found coliforms indicating the need to look for potential problems in water treatment or distribution. When this occurs, we are required to conduct assessment(s) to identify problems and to correct any problems that were found during these assessments.</w:t>
                  </w:r>
                  <w:r>
                    <w:rPr>
                      <w:rFonts w:ascii="Calibri" w:hAnsi="Calibri" w:eastAsia="Calibri"/>
                      <w:color w:val="000000"/>
                      <w:sz w:val="22"/>
                    </w:rPr>
                    <w:br/>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24"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246"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past year we were required to conduct  Level 1 assessment(s). </w:t>
                  </w:r>
                  <w:r>
                    <w:rPr>
                      <w:rFonts w:ascii="Calibri" w:hAnsi="Calibri" w:eastAsia="Calibri"/>
                      <w:color w:val="000000"/>
                      <w:sz w:val="22"/>
                    </w:rPr>
                    <w:t xml:space="preserve">1</w:t>
                  </w:r>
                  <w:r>
                    <w:rPr>
                      <w:rFonts w:ascii="Calibri" w:hAnsi="Calibri" w:eastAsia="Calibri"/>
                      <w:color w:val="000000"/>
                      <w:sz w:val="22"/>
                    </w:rPr>
                    <w:t xml:space="preserve"> Level 1 assessment(s) were completed. In addition, we were required to take </w:t>
                  </w:r>
                  <w:r>
                    <w:rPr>
                      <w:rFonts w:ascii="Calibri" w:hAnsi="Calibri" w:eastAsia="Calibri"/>
                      <w:color w:val="000000"/>
                      <w:sz w:val="22"/>
                    </w:rPr>
                    <w:t xml:space="preserve">0</w:t>
                  </w:r>
                  <w:r>
                    <w:rPr>
                      <w:rFonts w:ascii="Calibri" w:hAnsi="Calibri" w:eastAsia="Calibri"/>
                      <w:color w:val="000000"/>
                      <w:sz w:val="22"/>
                    </w:rPr>
                    <w:t xml:space="preserve"> corrective actions and we completed </w:t>
                  </w:r>
                  <w:r>
                    <w:rPr>
                      <w:rFonts w:ascii="Calibri" w:hAnsi="Calibri" w:eastAsia="Calibri"/>
                      <w:color w:val="000000"/>
                      <w:sz w:val="22"/>
                    </w:rPr>
                    <w:t xml:space="preserve">0</w:t>
                  </w:r>
                  <w:r>
                    <w:rPr>
                      <w:rFonts w:ascii="Calibri" w:hAnsi="Calibri" w:eastAsia="Calibri"/>
                      <w:color w:val="000000"/>
                      <w:sz w:val="22"/>
                    </w:rPr>
                    <w:t xml:space="preserve"> of these actions.</w:t>
                  </w:r>
                </w:p>
              </w:tc>
            </w:tr>
          </w:tbl>
          <w:p>
            <w:pPr>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7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POWHATAN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0">
    <w:nsid w:val="00000051"/>
    <w:multiLevelType w:val="multilevel"/>
    <w:tmpl w:val="0000005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 w:numId="81">
    <w:abstractNumId w:val="80"/>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