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HUNTINGTON MOBILE HOME PARK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HUNTINGTON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LA1017084 - HUNTINGTON MOBILE HOME PARK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VICKIE ATHA</w:t>
                  </w:r>
                  <w:r>
                    <w:rPr>
                      <w:rFonts w:ascii="Calibri" w:hAnsi="Calibri" w:eastAsia="Calibri"/>
                      <w:color w:val="000000"/>
                      <w:sz w:val="22"/>
                    </w:rPr>
                    <w:t xml:space="preserve"> at  </w:t>
                  </w:r>
                  <w:r>
                    <w:rPr>
                      <w:rFonts w:ascii="Calibri" w:hAnsi="Calibri" w:eastAsia="Calibri"/>
                      <w:color w:val="000000"/>
                      <w:sz w:val="22"/>
                    </w:rPr>
                    <w:t xml:space="preserve">714-929-7979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0.38 - 3.31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HUNTINGTON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HUNTINGTON MOBILE HOME PARK WATER SYSTEM</w:t>
                  </w:r>
                  <w:r>
                    <w:rPr>
                      <w:rFonts w:ascii="Calibri" w:hAnsi="Calibri" w:eastAsia="Calibri"/>
                      <w:color w:val="000000"/>
                      <w:sz w:val="22"/>
                    </w:rPr>
                    <w:t xml:space="preserve"> and </w:t>
                  </w:r>
                  <w:r>
                    <w:rPr>
                      <w:rFonts w:ascii="Calibri" w:hAnsi="Calibri" w:eastAsia="Calibri"/>
                      <w:color w:val="000000"/>
                      <w:sz w:val="22"/>
                    </w:rPr>
                    <w:t xml:space="preserve">VICKIE ATHA BUS Phone: 714-929-7979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HUNTINGTON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