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NEWELLTON WATER SYSTEM</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LA1107003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211"/>
        <w:gridCol w:w="659"/>
        <w:gridCol w:w="7195"/>
        <w:gridCol w:w="945"/>
        <w:gridCol w:w="284"/>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NEWELLTON WATER SYSTEM</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LA1107003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BRUIN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FRANKIE ROBINSON</w:t>
                  </w:r>
                  <w:r>
                    <w:rPr>
                      <w:rFonts w:ascii="Calibri" w:hAnsi="Calibri" w:eastAsia="Calibri"/>
                      <w:color w:val="000000"/>
                      <w:sz w:val="22"/>
                    </w:rPr>
                    <w:t xml:space="preserve"> at  </w:t>
                  </w:r>
                  <w:r>
                    <w:rPr>
                      <w:rFonts w:ascii="Calibri" w:hAnsi="Calibri" w:eastAsia="Calibri"/>
                      <w:color w:val="000000"/>
                      <w:sz w:val="22"/>
                    </w:rPr>
                    <w:t xml:space="preserve">318-467-5051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1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20"/>
              <w:gridCol w:w="3202"/>
              <w:gridCol w:w="2577"/>
            </w:tblGrid>
            <w:tr>
              <w:trPr>
                <w:trHeight w:val="282" w:hRule="atLeast"/>
              </w:trPr>
              <w:tc>
                <w:tcPr>
                  <w:tcW w:w="3020"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02"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577"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5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(IESWTR/LT1),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(IESWTR/LT1),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(IESWTR/LT1),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4/1/2025 - 4/30/2025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(IESWTR/LT1),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4/1/2025 - 4/30/2025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4/1/2025 - 4/30/2025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RTN/RPT MAJOR (SWTR-FILTER)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5/1/2025 - 5/31/2025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(IESWTR/LT1),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5/1/2025 - 5/31/2025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5/1/2025 - 5/31/2025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RTN/RPT MAJOR (SWTR-FILTER)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6/1/2025 - 6/30/2025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(IESWTR/LT1),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6/1/2025 - 6/30/2025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6/1/2025 - 6/30/2025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RTN/RPT MAJOR (SWTR-FILTER)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6/1/2025 - 6/30/2025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CARBON, TOTAL</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DBP PRECURSOR REMOVAL</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(IESWTR/LT1),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RTN/RPT MAJOR (SWTR-FILTER)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CARBON, TOTAL</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(DBP),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CARBON, TOTAL</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DBP PRECURSOR REMOVAL</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8/1/2025 - 8/31/2025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(IESWTR/LT1),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8/1/2025 - 8/31/2025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8/1/2025 - 8/31/2025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RTN/RPT MAJOR (SWTR-FILTER)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8/1/2025 - 8/31/2025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CARBON, TOTAL</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(DBP),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(IESWTR/LT1),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RTN/RPT MAJOR (SWTR-FILTER)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CARBON, TOTAL</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(DBP),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(IESWTR/LT1),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RTN/RPT MAJOR (SWTR-FILTER)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CARBON, TOTAL</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(DBP),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CARBON, TOTAL</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DBP PRECURSOR REMOVAL</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11/1/2025 - 11/30/2025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(IESWTR/LT1),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11/1/2025 - 11/30/2025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RTN/RPT MAJOR (SWTR-FILTER)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11/1/2025 - 11/30/2025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CARBON, TOTAL</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(DBP),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12/1/2025 - 12/31/2025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(IESWTR/LT1),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12/1/2025 - 12/31/2025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RTN/RPT MAJOR (SWTR-FILTER)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12/1/2025 - 12/31/2025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CARBON, TOTAL</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MONITORING, ROUTINE (DBP), MAJOR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2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7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0.02 - 1.45</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1 - 4.5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0.43 - 0.65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0 - 0.14</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LASSO</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0.032</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0 - 0.032</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117 POINT DRIVE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130 MELTON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117 POINT DRIVE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130 MELTON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47 - 54.2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3.9 - 4.2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13.1 - 14.3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45"/>
              <w:gridCol w:w="1567"/>
              <w:gridCol w:w="668"/>
              <w:gridCol w:w="2231"/>
              <w:gridCol w:w="1398"/>
              <w:gridCol w:w="2399"/>
            </w:tblGrid>
            <w:tr>
              <w:trPr>
                <w:trHeight w:val="446" w:hRule="atLeast"/>
              </w:trPr>
              <w:tc>
                <w:tcPr>
                  <w:tcW w:w="1045"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6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6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1"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39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399"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3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3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 STORAGE TANK</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11/23/2021</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 STORAGE TANK</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11/23/2021</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STORAGE TANK</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11/23/2021</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HIGH SERVICE PUMPS</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11/23/2021</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BRUIN INTAKE</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11/23/2021</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TREATMENT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11/23/2021</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TRANSFER PUMPS</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11/23/2021</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20OP12A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11/23/2021</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51:XII.319.D.6 and 309.A - All public water supplies shall be under the supervision and control of a duly certified operator as per requirements of the State Operator Certification Act, Act 538 of 1972, as amended (R.S. 40:1281.1-.11).;</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10/11/2023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TREATMENT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1/28/2024</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TREATMENT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20OT102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51:XII.319.D.26 - Other condition which is deemed by the state health officer to be a significant deficiency.;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TREATMENT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20T298B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51:XII.319.D.17 and 203.E - General equipment design shall be such that feeders will be able to supply, at all times, the necessary amounts of chemicals at an accurate rate throughout the range of feed. Liquid chemical feeders shall be such that chemical solutions cannot be siphoned or overfed into the water supply, by assuring discharge at a point of positive pressure, providing vacuum relief, providing a suitable air gap, or providing other suitable means or combinations as necessary.;</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NEWELLTON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NEWELLTON WATER SYSTEM</w:t>
                  </w:r>
                  <w:r>
                    <w:rPr>
                      <w:rFonts w:ascii="Calibri" w:hAnsi="Calibri" w:eastAsia="Calibri"/>
                      <w:color w:val="000000"/>
                      <w:sz w:val="22"/>
                    </w:rPr>
                    <w:t xml:space="preserve"> and </w:t>
                  </w:r>
                  <w:r>
                    <w:rPr>
                      <w:rFonts w:ascii="Calibri" w:hAnsi="Calibri" w:eastAsia="Calibri"/>
                      <w:color w:val="000000"/>
                      <w:sz w:val="22"/>
                    </w:rPr>
                    <w:t xml:space="preserve">FRANKIE ROBINSON BUS Phone: 318-467-5051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17"/>
            </w:tblGrid>
            <w:tr>
              <w:trPr>
                <w:trHeight w:val="282" w:hRule="atLeast"/>
              </w:trPr>
              <w:tc>
                <w:tcPr>
                  <w:tcW w:w="93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Violation notices:</w:t>
                  </w:r>
                </w:p>
              </w:tc>
            </w:tr>
            <w:tr>
              <w:trPr>
                <w:trHeight w:val="282" w:hRule="atLeast"/>
              </w:trPr>
              <w:tc>
                <w:tcPr>
                  <w:tcW w:w="93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Total organic carbon (TOC) has no health effects.  However, TOC provides a medium for the formation of disinfection byproducts (DBPs).  These byproducts include Trihalomethanes (THMs) and Haloacetic acids (HAAs).  Drinking water containing these byproducts in excess of the MCL may lead to adverse health effects, liver or kidney problems, or nervous system effects, and may lead to an increase risk of getting cancer.</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NEWELLTON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