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JUNCTION CITY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LA1111009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JUNCTION CITY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LA1111009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(OLD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(NEW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CHARLIE HOGUE</w:t>
                  </w:r>
                  <w:r>
                    <w:rPr>
                      <w:rFonts w:ascii="Calibri" w:hAnsi="Calibri" w:eastAsia="Calibri"/>
                      <w:color w:val="000000"/>
                      <w:sz w:val="22"/>
                    </w:rPr>
                    <w:t xml:space="preserve"> at  </w:t>
                  </w:r>
                  <w:r>
                    <w:rPr>
                      <w:rFonts w:ascii="Calibri" w:hAnsi="Calibri" w:eastAsia="Calibri"/>
                      <w:color w:val="000000"/>
                      <w:sz w:val="22"/>
                    </w:rPr>
                    <w:t xml:space="preserve">318-986-4459</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0.38 - 2.25</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9/8/2025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718 EAST 5TH STREET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INTERSECTION OF PINE &amp; AYCOCK</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718 EAST 5TH STREET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INTERSECTION OF PINE &amp; AYCOCK</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19 - 23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1.8 - 2.8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8 - 8.22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69 - 71.9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JUNCTION CITY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JUNCTION CITY WATER SYSTEM</w:t>
                  </w:r>
                  <w:r>
                    <w:rPr>
                      <w:rFonts w:ascii="Calibri" w:hAnsi="Calibri" w:eastAsia="Calibri"/>
                      <w:color w:val="000000"/>
                      <w:sz w:val="22"/>
                    </w:rPr>
                    <w:t xml:space="preserve"> and </w:t>
                  </w:r>
                  <w:r>
                    <w:rPr>
                      <w:rFonts w:ascii="Calibri" w:hAnsi="Calibri" w:eastAsia="Calibri"/>
                      <w:color w:val="000000"/>
                      <w:sz w:val="22"/>
                    </w:rPr>
                    <w:t xml:space="preserve">CHARLIE HOGUE BUS Phone: 318-986-4459</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JUNCTION CITY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